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3" w:rsidRDefault="00360873" w:rsidP="00643369">
      <w:pPr>
        <w:spacing w:after="0" w:line="240" w:lineRule="auto"/>
        <w:jc w:val="center"/>
        <w:rPr>
          <w:rFonts w:ascii="Garamond" w:hAnsi="Garamond"/>
          <w:b/>
          <w:sz w:val="24"/>
          <w:szCs w:val="24"/>
        </w:rPr>
      </w:pPr>
      <w:bookmarkStart w:id="0" w:name="_GoBack"/>
      <w:bookmarkEnd w:id="0"/>
    </w:p>
    <w:p w:rsidR="00B55626" w:rsidRDefault="00B55626" w:rsidP="00643369">
      <w:pPr>
        <w:spacing w:after="0" w:line="240" w:lineRule="auto"/>
        <w:rPr>
          <w:rFonts w:ascii="Garamond" w:hAnsi="Garamond"/>
          <w:b/>
          <w:sz w:val="24"/>
          <w:szCs w:val="24"/>
        </w:rPr>
      </w:pPr>
    </w:p>
    <w:p w:rsidR="00B55626" w:rsidRDefault="00B55626" w:rsidP="00643369">
      <w:pPr>
        <w:spacing w:after="0" w:line="240" w:lineRule="auto"/>
        <w:rPr>
          <w:rFonts w:ascii="Garamond" w:hAnsi="Garamond"/>
          <w:b/>
          <w:sz w:val="24"/>
          <w:szCs w:val="24"/>
        </w:rPr>
      </w:pPr>
    </w:p>
    <w:p w:rsidR="00360873" w:rsidRDefault="00D44A83" w:rsidP="00643369">
      <w:pPr>
        <w:spacing w:after="0" w:line="240" w:lineRule="auto"/>
        <w:rPr>
          <w:rFonts w:ascii="Garamond" w:hAnsi="Garamond"/>
          <w:b/>
          <w:sz w:val="24"/>
          <w:szCs w:val="24"/>
        </w:rPr>
      </w:pPr>
      <w:r>
        <w:rPr>
          <w:rFonts w:ascii="Garamond" w:hAnsi="Garamond"/>
          <w:b/>
          <w:sz w:val="24"/>
          <w:szCs w:val="24"/>
        </w:rPr>
        <w:t>Földművelésügyi Minisztérium</w:t>
      </w:r>
      <w:r w:rsidR="00643369">
        <w:rPr>
          <w:rFonts w:ascii="Garamond" w:hAnsi="Garamond"/>
          <w:b/>
          <w:sz w:val="24"/>
          <w:szCs w:val="24"/>
        </w:rPr>
        <w:t xml:space="preserve"> </w:t>
      </w:r>
      <w:r w:rsidR="00643369">
        <w:rPr>
          <w:rFonts w:ascii="Garamond" w:hAnsi="Garamond"/>
          <w:b/>
          <w:sz w:val="24"/>
          <w:szCs w:val="24"/>
        </w:rPr>
        <w:tab/>
      </w:r>
      <w:r w:rsidR="00643369">
        <w:rPr>
          <w:rFonts w:ascii="Garamond" w:hAnsi="Garamond"/>
          <w:b/>
          <w:sz w:val="24"/>
          <w:szCs w:val="24"/>
        </w:rPr>
        <w:tab/>
      </w:r>
      <w:r w:rsidR="00643369">
        <w:rPr>
          <w:rFonts w:ascii="Garamond" w:hAnsi="Garamond"/>
          <w:b/>
          <w:sz w:val="24"/>
          <w:szCs w:val="24"/>
        </w:rPr>
        <w:tab/>
      </w:r>
      <w:r w:rsidR="00643369">
        <w:rPr>
          <w:rFonts w:ascii="Garamond" w:hAnsi="Garamond"/>
          <w:b/>
          <w:sz w:val="24"/>
          <w:szCs w:val="24"/>
        </w:rPr>
        <w:tab/>
        <w:t>Iktatószám: HF/654-1/2016</w:t>
      </w:r>
    </w:p>
    <w:p w:rsidR="00D44A83" w:rsidRDefault="00D44A83" w:rsidP="00643369">
      <w:pPr>
        <w:spacing w:after="0" w:line="240" w:lineRule="auto"/>
        <w:rPr>
          <w:rFonts w:ascii="Garamond" w:hAnsi="Garamond"/>
          <w:b/>
          <w:sz w:val="24"/>
          <w:szCs w:val="24"/>
        </w:rPr>
      </w:pPr>
      <w:proofErr w:type="spellStart"/>
      <w:r>
        <w:rPr>
          <w:rFonts w:ascii="Garamond" w:hAnsi="Garamond"/>
          <w:b/>
          <w:sz w:val="24"/>
          <w:szCs w:val="24"/>
        </w:rPr>
        <w:t>Hungarikum</w:t>
      </w:r>
      <w:proofErr w:type="spellEnd"/>
      <w:r>
        <w:rPr>
          <w:rFonts w:ascii="Garamond" w:hAnsi="Garamond"/>
          <w:b/>
          <w:sz w:val="24"/>
          <w:szCs w:val="24"/>
        </w:rPr>
        <w:t xml:space="preserve"> Főosztály</w:t>
      </w:r>
      <w:r w:rsidR="00643369">
        <w:rPr>
          <w:rFonts w:ascii="Garamond" w:hAnsi="Garamond"/>
          <w:b/>
          <w:sz w:val="24"/>
          <w:szCs w:val="24"/>
        </w:rPr>
        <w:tab/>
      </w:r>
      <w:r w:rsidR="00643369">
        <w:rPr>
          <w:rFonts w:ascii="Garamond" w:hAnsi="Garamond"/>
          <w:b/>
          <w:sz w:val="24"/>
          <w:szCs w:val="24"/>
        </w:rPr>
        <w:tab/>
      </w:r>
      <w:r w:rsidR="00643369">
        <w:rPr>
          <w:rFonts w:ascii="Garamond" w:hAnsi="Garamond"/>
          <w:b/>
          <w:sz w:val="24"/>
          <w:szCs w:val="24"/>
        </w:rPr>
        <w:tab/>
      </w:r>
      <w:r w:rsidR="00643369">
        <w:rPr>
          <w:rFonts w:ascii="Garamond" w:hAnsi="Garamond"/>
          <w:b/>
          <w:sz w:val="24"/>
          <w:szCs w:val="24"/>
        </w:rPr>
        <w:tab/>
      </w:r>
      <w:r w:rsidR="00643369">
        <w:rPr>
          <w:rFonts w:ascii="Garamond" w:hAnsi="Garamond"/>
          <w:b/>
          <w:sz w:val="24"/>
          <w:szCs w:val="24"/>
        </w:rPr>
        <w:tab/>
        <w:t>Ügyintéző: Fazekas Anett</w:t>
      </w:r>
    </w:p>
    <w:p w:rsidR="00643369" w:rsidRDefault="00643369" w:rsidP="00643369">
      <w:pPr>
        <w:spacing w:after="0" w:line="240" w:lineRule="auto"/>
        <w:ind w:left="4956" w:firstLine="708"/>
        <w:rPr>
          <w:rFonts w:ascii="Garamond" w:hAnsi="Garamond"/>
          <w:b/>
          <w:sz w:val="24"/>
          <w:szCs w:val="24"/>
        </w:rPr>
      </w:pPr>
      <w:r w:rsidRPr="00643369">
        <w:rPr>
          <w:rFonts w:ascii="Garamond" w:hAnsi="Garamond"/>
          <w:b/>
          <w:sz w:val="24"/>
          <w:szCs w:val="24"/>
          <w:u w:val="single"/>
        </w:rPr>
        <w:t>Tárgy:</w:t>
      </w:r>
      <w:r>
        <w:rPr>
          <w:rFonts w:ascii="Garamond" w:hAnsi="Garamond"/>
          <w:b/>
          <w:sz w:val="24"/>
          <w:szCs w:val="24"/>
        </w:rPr>
        <w:t xml:space="preserve"> Állásfoglalás kérés</w:t>
      </w:r>
    </w:p>
    <w:p w:rsidR="00643369" w:rsidRDefault="00643369" w:rsidP="00643369">
      <w:pPr>
        <w:spacing w:after="0" w:line="240" w:lineRule="auto"/>
        <w:rPr>
          <w:rFonts w:ascii="Garamond" w:hAnsi="Garamond"/>
          <w:b/>
          <w:sz w:val="24"/>
          <w:szCs w:val="24"/>
        </w:rPr>
      </w:pPr>
      <w:r>
        <w:rPr>
          <w:rFonts w:ascii="Garamond" w:hAnsi="Garamond"/>
          <w:b/>
          <w:sz w:val="24"/>
          <w:szCs w:val="24"/>
        </w:rPr>
        <w:t>1055 Budapest</w:t>
      </w:r>
    </w:p>
    <w:p w:rsidR="00643369" w:rsidRDefault="00643369" w:rsidP="00643369">
      <w:pPr>
        <w:spacing w:after="0" w:line="240" w:lineRule="auto"/>
        <w:rPr>
          <w:rFonts w:ascii="Garamond" w:hAnsi="Garamond"/>
          <w:b/>
          <w:sz w:val="24"/>
          <w:szCs w:val="24"/>
        </w:rPr>
      </w:pPr>
      <w:r>
        <w:rPr>
          <w:rFonts w:ascii="Garamond" w:hAnsi="Garamond"/>
          <w:b/>
          <w:sz w:val="24"/>
          <w:szCs w:val="24"/>
        </w:rPr>
        <w:t xml:space="preserve">Kossuth tér 11. </w:t>
      </w:r>
    </w:p>
    <w:p w:rsidR="00360873" w:rsidRDefault="00360873" w:rsidP="00E2201D">
      <w:pPr>
        <w:jc w:val="center"/>
        <w:rPr>
          <w:rFonts w:ascii="Garamond" w:hAnsi="Garamond"/>
          <w:b/>
          <w:sz w:val="24"/>
          <w:szCs w:val="24"/>
        </w:rPr>
      </w:pPr>
    </w:p>
    <w:p w:rsidR="00B55626" w:rsidRDefault="00B55626" w:rsidP="00B55626">
      <w:pPr>
        <w:rPr>
          <w:rFonts w:ascii="Garamond" w:hAnsi="Garamond"/>
          <w:b/>
          <w:sz w:val="24"/>
          <w:szCs w:val="24"/>
        </w:rPr>
      </w:pPr>
    </w:p>
    <w:p w:rsidR="00B55626" w:rsidRDefault="00B55626" w:rsidP="00B55626">
      <w:pPr>
        <w:rPr>
          <w:rFonts w:ascii="Garamond" w:hAnsi="Garamond"/>
          <w:b/>
          <w:sz w:val="24"/>
          <w:szCs w:val="24"/>
        </w:rPr>
      </w:pPr>
    </w:p>
    <w:p w:rsidR="00B55626" w:rsidRDefault="00B55626" w:rsidP="00B55626">
      <w:pPr>
        <w:rPr>
          <w:rFonts w:ascii="Garamond" w:hAnsi="Garamond"/>
          <w:b/>
          <w:sz w:val="24"/>
          <w:szCs w:val="24"/>
        </w:rPr>
      </w:pPr>
      <w:r>
        <w:rPr>
          <w:rFonts w:ascii="Garamond" w:hAnsi="Garamond"/>
          <w:b/>
          <w:sz w:val="24"/>
          <w:szCs w:val="24"/>
        </w:rPr>
        <w:t xml:space="preserve">Tisztelt </w:t>
      </w:r>
      <w:proofErr w:type="spellStart"/>
      <w:r>
        <w:rPr>
          <w:rFonts w:ascii="Garamond" w:hAnsi="Garamond"/>
          <w:b/>
          <w:sz w:val="24"/>
          <w:szCs w:val="24"/>
        </w:rPr>
        <w:t>Hungarikum</w:t>
      </w:r>
      <w:proofErr w:type="spellEnd"/>
      <w:r>
        <w:rPr>
          <w:rFonts w:ascii="Garamond" w:hAnsi="Garamond"/>
          <w:b/>
          <w:sz w:val="24"/>
          <w:szCs w:val="24"/>
        </w:rPr>
        <w:t xml:space="preserve"> Főosztály!</w:t>
      </w:r>
    </w:p>
    <w:p w:rsidR="00FF2636" w:rsidRDefault="00B55626" w:rsidP="00C77A75">
      <w:pPr>
        <w:jc w:val="both"/>
        <w:rPr>
          <w:rFonts w:ascii="Garamond" w:hAnsi="Garamond"/>
          <w:sz w:val="24"/>
          <w:szCs w:val="24"/>
        </w:rPr>
      </w:pPr>
      <w:r w:rsidRPr="00B55626">
        <w:rPr>
          <w:rFonts w:ascii="Garamond" w:hAnsi="Garamond"/>
          <w:sz w:val="24"/>
          <w:szCs w:val="24"/>
        </w:rPr>
        <w:t xml:space="preserve">Tisztelettel tájékoztatom, hogy a </w:t>
      </w:r>
      <w:r>
        <w:rPr>
          <w:rFonts w:ascii="Garamond" w:hAnsi="Garamond"/>
          <w:sz w:val="24"/>
          <w:szCs w:val="24"/>
        </w:rPr>
        <w:t>Közép-Szabolcsi LEADER Egyesület fenti iktatószámú pályázatának megvalósítását 2016.</w:t>
      </w:r>
      <w:r w:rsidR="00C77A75">
        <w:rPr>
          <w:rFonts w:ascii="Garamond" w:hAnsi="Garamond"/>
          <w:sz w:val="24"/>
          <w:szCs w:val="24"/>
        </w:rPr>
        <w:t xml:space="preserve"> </w:t>
      </w:r>
      <w:r>
        <w:rPr>
          <w:rFonts w:ascii="Garamond" w:hAnsi="Garamond"/>
          <w:sz w:val="24"/>
          <w:szCs w:val="24"/>
        </w:rPr>
        <w:t>október 01. napján megkezdte</w:t>
      </w:r>
      <w:r w:rsidR="00C77A75">
        <w:rPr>
          <w:rFonts w:ascii="Garamond" w:hAnsi="Garamond"/>
          <w:sz w:val="24"/>
          <w:szCs w:val="24"/>
        </w:rPr>
        <w:t xml:space="preserve">. Együttműködő partnerei között jelölte meg a pályázatban a Nyíregyházi Egyetemet, a LEADER HACS térségéhez tartozó települések önkormányzatait, az Ibrányi Árpád Fejedelem Általános Iskolát, az Ibrányi Móricz Zsigmond Gimnázium és Szakközép Iskolát. A programba szakmai együttműködő partnerként szeretnénk bevonni a Herman Ottó Intézet Nonprofit Kft. is, tekintettel arra, hogy szeretnénk alkalmazni a Hetési és a Hortobágyi Mintaprogramban összegyűjtött eddigi tapasztalatokat </w:t>
      </w:r>
      <w:proofErr w:type="gramStart"/>
      <w:r w:rsidR="00C77A75">
        <w:rPr>
          <w:rFonts w:ascii="Garamond" w:hAnsi="Garamond"/>
          <w:sz w:val="24"/>
          <w:szCs w:val="24"/>
        </w:rPr>
        <w:t>a</w:t>
      </w:r>
      <w:proofErr w:type="gramEnd"/>
      <w:r w:rsidR="00C77A75">
        <w:rPr>
          <w:rFonts w:ascii="Garamond" w:hAnsi="Garamond"/>
          <w:sz w:val="24"/>
          <w:szCs w:val="24"/>
        </w:rPr>
        <w:t xml:space="preserve"> megvalósítás során, ehhez azonban kérnénk szíves állásfoglalásukat, hogy nem ütközne </w:t>
      </w:r>
      <w:proofErr w:type="gramStart"/>
      <w:r w:rsidR="00C77A75">
        <w:rPr>
          <w:rFonts w:ascii="Garamond" w:hAnsi="Garamond"/>
          <w:sz w:val="24"/>
          <w:szCs w:val="24"/>
        </w:rPr>
        <w:t>e</w:t>
      </w:r>
      <w:proofErr w:type="gramEnd"/>
      <w:r w:rsidR="00C77A75">
        <w:rPr>
          <w:rFonts w:ascii="Garamond" w:hAnsi="Garamond"/>
          <w:sz w:val="24"/>
          <w:szCs w:val="24"/>
        </w:rPr>
        <w:t xml:space="preserve"> összeférhetetlenségi akadályokba.</w:t>
      </w:r>
    </w:p>
    <w:p w:rsidR="00B55626" w:rsidRPr="00B55626" w:rsidRDefault="00FF2636" w:rsidP="00C77A75">
      <w:pPr>
        <w:jc w:val="both"/>
        <w:rPr>
          <w:rFonts w:ascii="Garamond" w:hAnsi="Garamond"/>
          <w:sz w:val="24"/>
          <w:szCs w:val="24"/>
        </w:rPr>
      </w:pPr>
      <w:r>
        <w:rPr>
          <w:rFonts w:ascii="Garamond" w:hAnsi="Garamond"/>
          <w:sz w:val="24"/>
          <w:szCs w:val="24"/>
        </w:rPr>
        <w:t>A</w:t>
      </w:r>
      <w:r w:rsidR="00C77A75">
        <w:rPr>
          <w:rFonts w:ascii="Garamond" w:hAnsi="Garamond"/>
          <w:sz w:val="24"/>
          <w:szCs w:val="24"/>
        </w:rPr>
        <w:t xml:space="preserve"> </w:t>
      </w:r>
      <w:proofErr w:type="spellStart"/>
      <w:r w:rsidR="00C77A75">
        <w:rPr>
          <w:rFonts w:ascii="Garamond" w:hAnsi="Garamond"/>
          <w:sz w:val="24"/>
          <w:szCs w:val="24"/>
        </w:rPr>
        <w:t>HOI-val</w:t>
      </w:r>
      <w:proofErr w:type="spellEnd"/>
      <w:r w:rsidR="00C77A75">
        <w:rPr>
          <w:rFonts w:ascii="Garamond" w:hAnsi="Garamond"/>
          <w:sz w:val="24"/>
          <w:szCs w:val="24"/>
        </w:rPr>
        <w:t xml:space="preserve"> az alábbi szakmai együttműködést tervezzük </w:t>
      </w:r>
      <w:r>
        <w:rPr>
          <w:rFonts w:ascii="Garamond" w:hAnsi="Garamond"/>
          <w:sz w:val="24"/>
          <w:szCs w:val="24"/>
        </w:rPr>
        <w:t xml:space="preserve">megvalósítani: </w:t>
      </w:r>
    </w:p>
    <w:p w:rsidR="00FF2636" w:rsidRDefault="00FF2636" w:rsidP="00E2201D">
      <w:pPr>
        <w:jc w:val="center"/>
        <w:rPr>
          <w:rFonts w:ascii="Garamond" w:hAnsi="Garamond"/>
          <w:b/>
          <w:sz w:val="24"/>
          <w:szCs w:val="24"/>
        </w:rPr>
      </w:pPr>
    </w:p>
    <w:p w:rsidR="00483CB7" w:rsidRPr="002A7A09" w:rsidRDefault="00E2201D" w:rsidP="00E2201D">
      <w:pPr>
        <w:jc w:val="center"/>
        <w:rPr>
          <w:rFonts w:ascii="Garamond" w:hAnsi="Garamond"/>
          <w:b/>
          <w:sz w:val="24"/>
          <w:szCs w:val="24"/>
        </w:rPr>
      </w:pPr>
      <w:r w:rsidRPr="002A7A09">
        <w:rPr>
          <w:rFonts w:ascii="Garamond" w:hAnsi="Garamond"/>
          <w:b/>
          <w:sz w:val="24"/>
          <w:szCs w:val="24"/>
        </w:rPr>
        <w:t>Tájhoz kötődő értékek közösségi felmérése a Rétköz területén</w:t>
      </w:r>
    </w:p>
    <w:p w:rsidR="00E2201D" w:rsidRPr="002A7A09" w:rsidRDefault="00BC6FD9" w:rsidP="00E2201D">
      <w:pPr>
        <w:jc w:val="center"/>
        <w:rPr>
          <w:rFonts w:ascii="Garamond" w:hAnsi="Garamond"/>
          <w:b/>
          <w:sz w:val="24"/>
          <w:szCs w:val="24"/>
        </w:rPr>
      </w:pPr>
      <w:proofErr w:type="gramStart"/>
      <w:r w:rsidRPr="002A7A09">
        <w:rPr>
          <w:rFonts w:ascii="Garamond" w:hAnsi="Garamond"/>
          <w:b/>
          <w:sz w:val="24"/>
          <w:szCs w:val="24"/>
        </w:rPr>
        <w:t>a</w:t>
      </w:r>
      <w:proofErr w:type="gramEnd"/>
      <w:r w:rsidR="00E2201D" w:rsidRPr="002A7A09">
        <w:rPr>
          <w:rFonts w:ascii="Garamond" w:hAnsi="Garamond"/>
          <w:b/>
          <w:sz w:val="24"/>
          <w:szCs w:val="24"/>
        </w:rPr>
        <w:t xml:space="preserve"> Herman Ottó Intézet </w:t>
      </w:r>
      <w:r w:rsidR="00BE5456">
        <w:rPr>
          <w:rFonts w:ascii="Garamond" w:hAnsi="Garamond"/>
          <w:b/>
          <w:sz w:val="24"/>
          <w:szCs w:val="24"/>
        </w:rPr>
        <w:t xml:space="preserve">Nonprofit Kft. </w:t>
      </w:r>
      <w:r w:rsidR="00E2201D" w:rsidRPr="002A7A09">
        <w:rPr>
          <w:rFonts w:ascii="Garamond" w:hAnsi="Garamond"/>
          <w:b/>
          <w:sz w:val="24"/>
          <w:szCs w:val="24"/>
        </w:rPr>
        <w:t>közreműködésével</w:t>
      </w:r>
    </w:p>
    <w:p w:rsidR="00E2201D" w:rsidRPr="002A7A09" w:rsidRDefault="00E2201D" w:rsidP="00E2201D">
      <w:pPr>
        <w:jc w:val="both"/>
        <w:rPr>
          <w:rFonts w:ascii="Garamond" w:hAnsi="Garamond"/>
          <w:sz w:val="24"/>
          <w:szCs w:val="24"/>
        </w:rPr>
      </w:pPr>
      <w:r w:rsidRPr="002A7A09">
        <w:rPr>
          <w:rFonts w:ascii="Garamond" w:hAnsi="Garamond"/>
          <w:sz w:val="24"/>
          <w:szCs w:val="24"/>
        </w:rPr>
        <w:t>Az értékfelmérés területe: A Közép-Szabolcsi LEADER Egyesület (KSZLE) fejlesztési területe, a Rétköz 8 települése: Balsa, Búj, Gávavencsellő, Ibrány, Nagyhalászi, Paszab, Tiszabercel, Tiszatelek</w:t>
      </w:r>
    </w:p>
    <w:p w:rsidR="00E2201D" w:rsidRPr="002A7A09" w:rsidRDefault="00C43328" w:rsidP="00E2201D">
      <w:pPr>
        <w:rPr>
          <w:rFonts w:ascii="Garamond" w:hAnsi="Garamond"/>
          <w:sz w:val="24"/>
          <w:szCs w:val="24"/>
        </w:rPr>
      </w:pPr>
      <w:r w:rsidRPr="002A7A09">
        <w:rPr>
          <w:rFonts w:ascii="Garamond" w:hAnsi="Garamond"/>
          <w:sz w:val="24"/>
          <w:szCs w:val="24"/>
        </w:rPr>
        <w:t xml:space="preserve">A Herman Ottó Intézet </w:t>
      </w:r>
      <w:r w:rsidR="00BE5456" w:rsidRPr="00BE5456">
        <w:rPr>
          <w:rFonts w:ascii="Garamond" w:hAnsi="Garamond"/>
          <w:sz w:val="24"/>
          <w:szCs w:val="24"/>
        </w:rPr>
        <w:t>Nonprofit Kft.</w:t>
      </w:r>
      <w:r w:rsidR="00BE5456">
        <w:rPr>
          <w:rFonts w:ascii="Garamond" w:hAnsi="Garamond"/>
          <w:b/>
          <w:sz w:val="24"/>
          <w:szCs w:val="24"/>
        </w:rPr>
        <w:t xml:space="preserve"> </w:t>
      </w:r>
      <w:r w:rsidRPr="002A7A09">
        <w:rPr>
          <w:rFonts w:ascii="Garamond" w:hAnsi="Garamond"/>
          <w:sz w:val="24"/>
          <w:szCs w:val="24"/>
        </w:rPr>
        <w:t xml:space="preserve">munkatársainak közreműködésével ellátandó </w:t>
      </w:r>
      <w:r w:rsidR="00FF2636">
        <w:rPr>
          <w:rFonts w:ascii="Garamond" w:hAnsi="Garamond"/>
          <w:sz w:val="24"/>
          <w:szCs w:val="24"/>
        </w:rPr>
        <w:t>tervezett</w:t>
      </w:r>
      <w:r w:rsidRPr="002A7A09">
        <w:rPr>
          <w:rFonts w:ascii="Garamond" w:hAnsi="Garamond"/>
          <w:sz w:val="24"/>
          <w:szCs w:val="24"/>
        </w:rPr>
        <w:t xml:space="preserve"> feladatok:</w:t>
      </w:r>
    </w:p>
    <w:p w:rsidR="00BC12E5" w:rsidRPr="002A7A09" w:rsidRDefault="00FF2636" w:rsidP="008159CC">
      <w:pPr>
        <w:pStyle w:val="Listaszerbekezds"/>
        <w:numPr>
          <w:ilvl w:val="0"/>
          <w:numId w:val="1"/>
        </w:numPr>
        <w:jc w:val="both"/>
        <w:rPr>
          <w:rFonts w:ascii="Garamond" w:hAnsi="Garamond"/>
          <w:sz w:val="24"/>
          <w:szCs w:val="24"/>
        </w:rPr>
      </w:pPr>
      <w:r>
        <w:rPr>
          <w:rFonts w:ascii="Garamond" w:hAnsi="Garamond"/>
          <w:sz w:val="24"/>
          <w:szCs w:val="24"/>
        </w:rPr>
        <w:t xml:space="preserve">Közösségi </w:t>
      </w:r>
      <w:r w:rsidR="00BC12E5" w:rsidRPr="002A7A09">
        <w:rPr>
          <w:rFonts w:ascii="Garamond" w:hAnsi="Garamond"/>
          <w:sz w:val="24"/>
          <w:szCs w:val="24"/>
        </w:rPr>
        <w:t xml:space="preserve">megbeszélés szervezése és azon való aktív részvétel, amely keretében </w:t>
      </w:r>
      <w:r w:rsidR="00B55A52" w:rsidRPr="002A7A09">
        <w:rPr>
          <w:rFonts w:ascii="Garamond" w:hAnsi="Garamond"/>
          <w:sz w:val="24"/>
          <w:szCs w:val="24"/>
        </w:rPr>
        <w:t>meghatározásra kerülnek a projekt konkrét céljai, részfeladatai, a feladatban résztvevő szereplők felelősségi területei, a megvalósítási folyamat ütemezése és a legfontosabb határidők.</w:t>
      </w:r>
      <w:r w:rsidR="00C02014" w:rsidRPr="002A7A09">
        <w:rPr>
          <w:rFonts w:ascii="Garamond" w:hAnsi="Garamond"/>
          <w:sz w:val="24"/>
          <w:szCs w:val="24"/>
        </w:rPr>
        <w:t xml:space="preserve"> </w:t>
      </w:r>
    </w:p>
    <w:p w:rsidR="003F10C0" w:rsidRPr="002A7A09" w:rsidRDefault="003F10C0" w:rsidP="003F10C0">
      <w:pPr>
        <w:pStyle w:val="Listaszerbekezds"/>
        <w:jc w:val="both"/>
        <w:rPr>
          <w:rFonts w:ascii="Garamond" w:hAnsi="Garamond"/>
          <w:sz w:val="24"/>
          <w:szCs w:val="24"/>
        </w:rPr>
      </w:pPr>
    </w:p>
    <w:p w:rsidR="00B55A52" w:rsidRDefault="00FF2636" w:rsidP="008159CC">
      <w:pPr>
        <w:pStyle w:val="Listaszerbekezds"/>
        <w:numPr>
          <w:ilvl w:val="0"/>
          <w:numId w:val="1"/>
        </w:numPr>
        <w:jc w:val="both"/>
        <w:rPr>
          <w:rFonts w:ascii="Garamond" w:hAnsi="Garamond"/>
          <w:sz w:val="24"/>
          <w:szCs w:val="24"/>
        </w:rPr>
      </w:pPr>
      <w:r>
        <w:rPr>
          <w:rFonts w:ascii="Garamond" w:hAnsi="Garamond"/>
          <w:sz w:val="24"/>
          <w:szCs w:val="24"/>
        </w:rPr>
        <w:t xml:space="preserve">A </w:t>
      </w:r>
      <w:r w:rsidR="00BE5456">
        <w:rPr>
          <w:rFonts w:ascii="Garamond" w:hAnsi="Garamond"/>
          <w:sz w:val="24"/>
          <w:szCs w:val="24"/>
        </w:rPr>
        <w:t>megbeszélés keretében a</w:t>
      </w:r>
      <w:r w:rsidR="00C02014" w:rsidRPr="002A7A09">
        <w:rPr>
          <w:rFonts w:ascii="Garamond" w:hAnsi="Garamond"/>
          <w:sz w:val="24"/>
          <w:szCs w:val="24"/>
        </w:rPr>
        <w:t xml:space="preserve"> tájhoz kötődő értékek </w:t>
      </w:r>
      <w:r w:rsidR="005E1E14" w:rsidRPr="002A7A09">
        <w:rPr>
          <w:rFonts w:ascii="Garamond" w:hAnsi="Garamond"/>
          <w:sz w:val="24"/>
          <w:szCs w:val="24"/>
        </w:rPr>
        <w:t xml:space="preserve">közösségi alapú </w:t>
      </w:r>
      <w:r w:rsidR="00C02014" w:rsidRPr="002A7A09">
        <w:rPr>
          <w:rFonts w:ascii="Garamond" w:hAnsi="Garamond"/>
          <w:sz w:val="24"/>
          <w:szCs w:val="24"/>
        </w:rPr>
        <w:t>felmérésére vonatkozó - egy lehetséges és már működő - módszertan ismertetése a közösség felmérésben résztvevő tagjaival, jó példák és az eddigi felmérési gyakorlatok összefoglalása.</w:t>
      </w:r>
    </w:p>
    <w:p w:rsidR="00FF2636" w:rsidRPr="00FF2636" w:rsidRDefault="00FF2636" w:rsidP="00FF2636">
      <w:pPr>
        <w:pStyle w:val="Listaszerbekezds"/>
        <w:rPr>
          <w:rFonts w:ascii="Garamond" w:hAnsi="Garamond"/>
          <w:sz w:val="24"/>
          <w:szCs w:val="24"/>
        </w:rPr>
      </w:pPr>
    </w:p>
    <w:p w:rsidR="00FF2636" w:rsidRPr="002A7A09" w:rsidRDefault="00FF2636" w:rsidP="00FF2636">
      <w:pPr>
        <w:pStyle w:val="Listaszerbekezds"/>
        <w:jc w:val="both"/>
        <w:rPr>
          <w:rFonts w:ascii="Garamond" w:hAnsi="Garamond"/>
          <w:sz w:val="24"/>
          <w:szCs w:val="24"/>
        </w:rPr>
      </w:pPr>
    </w:p>
    <w:p w:rsidR="00C02014" w:rsidRDefault="00C02014" w:rsidP="00C02014">
      <w:pPr>
        <w:pStyle w:val="Listaszerbekezds"/>
        <w:rPr>
          <w:rFonts w:ascii="Garamond" w:hAnsi="Garamond"/>
          <w:sz w:val="24"/>
          <w:szCs w:val="24"/>
        </w:rPr>
      </w:pPr>
    </w:p>
    <w:p w:rsidR="00FF2636" w:rsidRDefault="00FF2636" w:rsidP="00C02014">
      <w:pPr>
        <w:pStyle w:val="Listaszerbekezds"/>
        <w:rPr>
          <w:rFonts w:ascii="Garamond" w:hAnsi="Garamond"/>
          <w:sz w:val="24"/>
          <w:szCs w:val="24"/>
        </w:rPr>
      </w:pPr>
    </w:p>
    <w:p w:rsidR="00FF2636" w:rsidRPr="002A7A09" w:rsidRDefault="00FF2636" w:rsidP="00C02014">
      <w:pPr>
        <w:pStyle w:val="Listaszerbekezds"/>
        <w:rPr>
          <w:rFonts w:ascii="Garamond" w:hAnsi="Garamond"/>
          <w:sz w:val="24"/>
          <w:szCs w:val="24"/>
        </w:rPr>
      </w:pPr>
    </w:p>
    <w:p w:rsidR="005E1E14" w:rsidRPr="002A7A09" w:rsidRDefault="005E1E14" w:rsidP="005E1E14">
      <w:pPr>
        <w:pStyle w:val="Listaszerbekezds"/>
        <w:numPr>
          <w:ilvl w:val="0"/>
          <w:numId w:val="1"/>
        </w:numPr>
        <w:jc w:val="both"/>
        <w:rPr>
          <w:rFonts w:ascii="Garamond" w:hAnsi="Garamond"/>
          <w:sz w:val="24"/>
          <w:szCs w:val="24"/>
        </w:rPr>
      </w:pPr>
      <w:r w:rsidRPr="002A7A09">
        <w:rPr>
          <w:rFonts w:ascii="Garamond" w:hAnsi="Garamond"/>
          <w:sz w:val="24"/>
          <w:szCs w:val="24"/>
        </w:rPr>
        <w:t>Részvétel az értékfelmérés előkészítésében, az egyes tematikus szempontok kialakításában.</w:t>
      </w:r>
    </w:p>
    <w:p w:rsidR="005E1E14" w:rsidRPr="002A7A09" w:rsidRDefault="005E1E14" w:rsidP="005E1E14">
      <w:pPr>
        <w:pStyle w:val="Listaszerbekezds"/>
        <w:rPr>
          <w:rFonts w:ascii="Garamond" w:hAnsi="Garamond"/>
          <w:sz w:val="24"/>
          <w:szCs w:val="24"/>
        </w:rPr>
      </w:pPr>
    </w:p>
    <w:p w:rsidR="005E1E14" w:rsidRPr="002A7A09" w:rsidRDefault="00BE5456" w:rsidP="00742B56">
      <w:pPr>
        <w:pStyle w:val="Listaszerbekezds"/>
        <w:numPr>
          <w:ilvl w:val="0"/>
          <w:numId w:val="1"/>
        </w:numPr>
        <w:jc w:val="both"/>
        <w:rPr>
          <w:rFonts w:ascii="Garamond" w:hAnsi="Garamond"/>
          <w:sz w:val="24"/>
          <w:szCs w:val="24"/>
        </w:rPr>
      </w:pPr>
      <w:r>
        <w:rPr>
          <w:rFonts w:ascii="Garamond" w:hAnsi="Garamond"/>
          <w:sz w:val="24"/>
          <w:szCs w:val="24"/>
        </w:rPr>
        <w:t>A</w:t>
      </w:r>
      <w:r w:rsidRPr="002A7A09">
        <w:rPr>
          <w:rFonts w:ascii="Garamond" w:hAnsi="Garamond"/>
          <w:sz w:val="24"/>
          <w:szCs w:val="24"/>
        </w:rPr>
        <w:t xml:space="preserve">ktív részvétel </w:t>
      </w:r>
      <w:r>
        <w:rPr>
          <w:rFonts w:ascii="Garamond" w:hAnsi="Garamond"/>
          <w:sz w:val="24"/>
          <w:szCs w:val="24"/>
        </w:rPr>
        <w:t>a</w:t>
      </w:r>
      <w:r w:rsidRPr="002A7A09">
        <w:rPr>
          <w:rFonts w:ascii="Garamond" w:hAnsi="Garamond"/>
          <w:sz w:val="24"/>
          <w:szCs w:val="24"/>
        </w:rPr>
        <w:t xml:space="preserve"> </w:t>
      </w:r>
      <w:r w:rsidR="005E1E14" w:rsidRPr="002A7A09">
        <w:rPr>
          <w:rFonts w:ascii="Garamond" w:hAnsi="Garamond"/>
          <w:sz w:val="24"/>
          <w:szCs w:val="24"/>
        </w:rPr>
        <w:t xml:space="preserve">helyi közösségek bevonásával </w:t>
      </w:r>
      <w:r>
        <w:rPr>
          <w:rFonts w:ascii="Garamond" w:hAnsi="Garamond"/>
          <w:sz w:val="24"/>
          <w:szCs w:val="24"/>
        </w:rPr>
        <w:t>megvalósuló</w:t>
      </w:r>
      <w:r w:rsidRPr="002A7A09">
        <w:rPr>
          <w:rFonts w:ascii="Garamond" w:hAnsi="Garamond"/>
          <w:sz w:val="24"/>
          <w:szCs w:val="24"/>
        </w:rPr>
        <w:t xml:space="preserve"> </w:t>
      </w:r>
      <w:r w:rsidR="00AE1713" w:rsidRPr="002A7A09">
        <w:rPr>
          <w:rFonts w:ascii="Garamond" w:hAnsi="Garamond"/>
          <w:sz w:val="24"/>
          <w:szCs w:val="24"/>
        </w:rPr>
        <w:t>értékfelmérés</w:t>
      </w:r>
      <w:r>
        <w:rPr>
          <w:rFonts w:ascii="Garamond" w:hAnsi="Garamond"/>
          <w:sz w:val="24"/>
          <w:szCs w:val="24"/>
        </w:rPr>
        <w:t xml:space="preserve"> első szakaszában, a módszertan gyakorlati átadása. </w:t>
      </w:r>
      <w:r w:rsidR="00AE1713" w:rsidRPr="002A7A09">
        <w:rPr>
          <w:rFonts w:ascii="Garamond" w:hAnsi="Garamond"/>
          <w:sz w:val="24"/>
          <w:szCs w:val="24"/>
        </w:rPr>
        <w:t xml:space="preserve">  </w:t>
      </w:r>
      <w:r>
        <w:rPr>
          <w:rFonts w:ascii="Garamond" w:hAnsi="Garamond"/>
          <w:sz w:val="24"/>
          <w:szCs w:val="24"/>
        </w:rPr>
        <w:t>A</w:t>
      </w:r>
      <w:r w:rsidR="00742B56" w:rsidRPr="002A7A09">
        <w:rPr>
          <w:rFonts w:ascii="Garamond" w:hAnsi="Garamond"/>
          <w:sz w:val="24"/>
          <w:szCs w:val="24"/>
        </w:rPr>
        <w:t>z értékekhez kapcsolódó adatok felvételezése, az értékek rögzítésére szolgáló adatbázis kezelése.</w:t>
      </w:r>
    </w:p>
    <w:p w:rsidR="005E1E14" w:rsidRPr="002A7A09" w:rsidRDefault="005E1E14" w:rsidP="005E1E14">
      <w:pPr>
        <w:pStyle w:val="Listaszerbekezds"/>
        <w:rPr>
          <w:rFonts w:ascii="Garamond" w:hAnsi="Garamond"/>
          <w:sz w:val="24"/>
          <w:szCs w:val="24"/>
        </w:rPr>
      </w:pPr>
    </w:p>
    <w:p w:rsidR="00742B56" w:rsidRPr="002A7A09" w:rsidRDefault="005E1E14" w:rsidP="00742B56">
      <w:pPr>
        <w:pStyle w:val="Listaszerbekezds"/>
        <w:numPr>
          <w:ilvl w:val="0"/>
          <w:numId w:val="1"/>
        </w:numPr>
        <w:jc w:val="both"/>
        <w:rPr>
          <w:rFonts w:ascii="Garamond" w:hAnsi="Garamond"/>
          <w:sz w:val="24"/>
          <w:szCs w:val="24"/>
        </w:rPr>
      </w:pPr>
      <w:r w:rsidRPr="002A7A09">
        <w:rPr>
          <w:rFonts w:ascii="Garamond" w:hAnsi="Garamond"/>
          <w:sz w:val="24"/>
          <w:szCs w:val="24"/>
        </w:rPr>
        <w:t>A tájérték-gyűjtéshez kapcsolódó közösségi műhelyek és tájséták megtervezésében való szakmai részvétel, a</w:t>
      </w:r>
      <w:r w:rsidR="00BE5456">
        <w:rPr>
          <w:rFonts w:ascii="Garamond" w:hAnsi="Garamond"/>
          <w:sz w:val="24"/>
          <w:szCs w:val="24"/>
        </w:rPr>
        <w:t>z első</w:t>
      </w:r>
      <w:r w:rsidRPr="002A7A09">
        <w:rPr>
          <w:rFonts w:ascii="Garamond" w:hAnsi="Garamond"/>
          <w:sz w:val="24"/>
          <w:szCs w:val="24"/>
        </w:rPr>
        <w:t xml:space="preserve"> műhelyek és tájséták szakmai levezetése</w:t>
      </w:r>
      <w:r w:rsidR="00BE5456">
        <w:rPr>
          <w:rFonts w:ascii="Garamond" w:hAnsi="Garamond"/>
          <w:sz w:val="24"/>
          <w:szCs w:val="24"/>
        </w:rPr>
        <w:t>, a módszertan gyakorlati átadása</w:t>
      </w:r>
      <w:r w:rsidRPr="002A7A09">
        <w:rPr>
          <w:rFonts w:ascii="Garamond" w:hAnsi="Garamond"/>
          <w:sz w:val="24"/>
          <w:szCs w:val="24"/>
        </w:rPr>
        <w:t>.</w:t>
      </w:r>
    </w:p>
    <w:p w:rsidR="00717804" w:rsidRPr="002A7A09" w:rsidRDefault="00717804" w:rsidP="00717804">
      <w:pPr>
        <w:pStyle w:val="Listaszerbekezds"/>
        <w:rPr>
          <w:rFonts w:ascii="Garamond" w:hAnsi="Garamond"/>
          <w:sz w:val="24"/>
          <w:szCs w:val="24"/>
        </w:rPr>
      </w:pPr>
    </w:p>
    <w:p w:rsidR="00717804" w:rsidRPr="002A7A09" w:rsidRDefault="00717804" w:rsidP="00717804">
      <w:pPr>
        <w:pStyle w:val="Listaszerbekezds"/>
        <w:numPr>
          <w:ilvl w:val="0"/>
          <w:numId w:val="1"/>
        </w:numPr>
        <w:jc w:val="both"/>
        <w:rPr>
          <w:rFonts w:ascii="Garamond" w:hAnsi="Garamond"/>
          <w:sz w:val="24"/>
          <w:szCs w:val="24"/>
        </w:rPr>
      </w:pPr>
      <w:r w:rsidRPr="002A7A09">
        <w:rPr>
          <w:rFonts w:ascii="Garamond" w:hAnsi="Garamond"/>
          <w:sz w:val="24"/>
          <w:szCs w:val="24"/>
        </w:rPr>
        <w:t xml:space="preserve">A fentebb nevesített szakmai és közösségi rendezvények alapján, illetve igény </w:t>
      </w:r>
      <w:r w:rsidR="0040647E" w:rsidRPr="002A7A09">
        <w:rPr>
          <w:rFonts w:ascii="Garamond" w:hAnsi="Garamond"/>
          <w:sz w:val="24"/>
          <w:szCs w:val="24"/>
        </w:rPr>
        <w:t xml:space="preserve">és lehetőség </w:t>
      </w:r>
      <w:r w:rsidRPr="002A7A09">
        <w:rPr>
          <w:rFonts w:ascii="Garamond" w:hAnsi="Garamond"/>
          <w:sz w:val="24"/>
          <w:szCs w:val="24"/>
        </w:rPr>
        <w:t>szerint további szakmai közreműködés</w:t>
      </w:r>
      <w:r w:rsidR="00BE5456">
        <w:rPr>
          <w:rFonts w:ascii="Garamond" w:hAnsi="Garamond"/>
          <w:sz w:val="24"/>
          <w:szCs w:val="24"/>
        </w:rPr>
        <w:t xml:space="preserve"> által</w:t>
      </w:r>
      <w:r w:rsidRPr="002A7A09">
        <w:rPr>
          <w:rFonts w:ascii="Garamond" w:hAnsi="Garamond"/>
          <w:sz w:val="24"/>
          <w:szCs w:val="24"/>
        </w:rPr>
        <w:t xml:space="preserve"> a települési értéktárak elkészítésének előmozdítása.</w:t>
      </w:r>
    </w:p>
    <w:p w:rsidR="00717804" w:rsidRPr="002A7A09" w:rsidRDefault="00717804" w:rsidP="00717804">
      <w:pPr>
        <w:pStyle w:val="Listaszerbekezds"/>
        <w:rPr>
          <w:rFonts w:ascii="Garamond" w:hAnsi="Garamond"/>
          <w:sz w:val="24"/>
          <w:szCs w:val="24"/>
        </w:rPr>
      </w:pPr>
    </w:p>
    <w:p w:rsidR="009373ED" w:rsidRPr="002A7A09" w:rsidRDefault="00717804" w:rsidP="009373ED">
      <w:pPr>
        <w:pStyle w:val="Listaszerbekezds"/>
        <w:numPr>
          <w:ilvl w:val="0"/>
          <w:numId w:val="1"/>
        </w:numPr>
        <w:jc w:val="both"/>
        <w:rPr>
          <w:rFonts w:ascii="Garamond" w:hAnsi="Garamond"/>
          <w:sz w:val="24"/>
          <w:szCs w:val="24"/>
        </w:rPr>
      </w:pPr>
      <w:r w:rsidRPr="002A7A09">
        <w:rPr>
          <w:rFonts w:ascii="Garamond" w:hAnsi="Garamond"/>
          <w:sz w:val="24"/>
          <w:szCs w:val="24"/>
        </w:rPr>
        <w:t>A fentebb nevesített szakmai és közösségi rendezvények</w:t>
      </w:r>
      <w:r w:rsidR="00BE5456">
        <w:rPr>
          <w:rFonts w:ascii="Garamond" w:hAnsi="Garamond"/>
          <w:sz w:val="24"/>
          <w:szCs w:val="24"/>
        </w:rPr>
        <w:t>, felmérési eredmények</w:t>
      </w:r>
      <w:r w:rsidRPr="002A7A09">
        <w:rPr>
          <w:rFonts w:ascii="Garamond" w:hAnsi="Garamond"/>
          <w:sz w:val="24"/>
          <w:szCs w:val="24"/>
        </w:rPr>
        <w:t xml:space="preserve"> alapján a tájegységi (</w:t>
      </w:r>
      <w:r w:rsidRPr="00FF2636">
        <w:rPr>
          <w:rFonts w:ascii="Garamond" w:hAnsi="Garamond"/>
          <w:b/>
          <w:sz w:val="24"/>
          <w:szCs w:val="24"/>
        </w:rPr>
        <w:t>natúrparki</w:t>
      </w:r>
      <w:r w:rsidRPr="002A7A09">
        <w:rPr>
          <w:rFonts w:ascii="Garamond" w:hAnsi="Garamond"/>
          <w:sz w:val="24"/>
          <w:szCs w:val="24"/>
        </w:rPr>
        <w:t xml:space="preserve">) értéktár </w:t>
      </w:r>
      <w:r w:rsidR="00BE5456">
        <w:rPr>
          <w:rFonts w:ascii="Garamond" w:hAnsi="Garamond"/>
          <w:sz w:val="24"/>
          <w:szCs w:val="24"/>
        </w:rPr>
        <w:t xml:space="preserve">kialakításának előkészítése (módszertan kidolgozása, javaslattétel az értéktár </w:t>
      </w:r>
      <w:r w:rsidRPr="002A7A09">
        <w:rPr>
          <w:rFonts w:ascii="Garamond" w:hAnsi="Garamond"/>
          <w:sz w:val="24"/>
          <w:szCs w:val="24"/>
        </w:rPr>
        <w:t xml:space="preserve">elemeire, a tájhoz kötődő értékekre vonatkozó információk </w:t>
      </w:r>
      <w:r w:rsidR="00BE5456">
        <w:rPr>
          <w:rFonts w:ascii="Garamond" w:hAnsi="Garamond"/>
          <w:sz w:val="24"/>
          <w:szCs w:val="24"/>
        </w:rPr>
        <w:t xml:space="preserve">összeállítása </w:t>
      </w:r>
      <w:r w:rsidRPr="002A7A09">
        <w:rPr>
          <w:rFonts w:ascii="Garamond" w:hAnsi="Garamond"/>
          <w:sz w:val="24"/>
          <w:szCs w:val="24"/>
        </w:rPr>
        <w:t>egységes szerkezetben</w:t>
      </w:r>
      <w:r w:rsidR="00BE5456">
        <w:rPr>
          <w:rFonts w:ascii="Garamond" w:hAnsi="Garamond"/>
          <w:sz w:val="24"/>
          <w:szCs w:val="24"/>
        </w:rPr>
        <w:t>)</w:t>
      </w:r>
      <w:r w:rsidRPr="002A7A09">
        <w:rPr>
          <w:rFonts w:ascii="Garamond" w:hAnsi="Garamond"/>
          <w:sz w:val="24"/>
          <w:szCs w:val="24"/>
        </w:rPr>
        <w:t>.</w:t>
      </w:r>
    </w:p>
    <w:p w:rsidR="009373ED" w:rsidRPr="002A7A09" w:rsidRDefault="009373ED" w:rsidP="009373ED">
      <w:pPr>
        <w:pStyle w:val="Listaszerbekezds"/>
        <w:rPr>
          <w:rFonts w:ascii="Garamond" w:hAnsi="Garamond"/>
          <w:sz w:val="24"/>
          <w:szCs w:val="24"/>
        </w:rPr>
      </w:pPr>
    </w:p>
    <w:p w:rsidR="00742B56" w:rsidRPr="002A7A09" w:rsidRDefault="00982B01" w:rsidP="008159CC">
      <w:pPr>
        <w:pStyle w:val="Listaszerbekezds"/>
        <w:numPr>
          <w:ilvl w:val="0"/>
          <w:numId w:val="1"/>
        </w:numPr>
        <w:jc w:val="both"/>
        <w:rPr>
          <w:rFonts w:ascii="Garamond" w:hAnsi="Garamond"/>
          <w:sz w:val="24"/>
          <w:szCs w:val="24"/>
        </w:rPr>
      </w:pPr>
      <w:r w:rsidRPr="002A7A09">
        <w:rPr>
          <w:rFonts w:ascii="Garamond" w:hAnsi="Garamond"/>
          <w:sz w:val="24"/>
          <w:szCs w:val="24"/>
        </w:rPr>
        <w:t>Az értékfelmérés során rögzített adatok felvitele a Herman Ottó Intézet által működtetett hagyomanyok.hu elektronikus felületre, amely egyéb funkciói mellett értéktárak létrehozására és népszerűsítésére is szolgál.</w:t>
      </w:r>
    </w:p>
    <w:p w:rsidR="00982B01" w:rsidRPr="002A7A09" w:rsidRDefault="00982B01" w:rsidP="00982B01">
      <w:pPr>
        <w:pStyle w:val="Listaszerbekezds"/>
        <w:rPr>
          <w:rFonts w:ascii="Garamond" w:hAnsi="Garamond"/>
          <w:sz w:val="24"/>
          <w:szCs w:val="24"/>
        </w:rPr>
      </w:pPr>
    </w:p>
    <w:p w:rsidR="00982B01" w:rsidRPr="002A7A09" w:rsidRDefault="00F5015C" w:rsidP="008159CC">
      <w:pPr>
        <w:pStyle w:val="Listaszerbekezds"/>
        <w:numPr>
          <w:ilvl w:val="0"/>
          <w:numId w:val="1"/>
        </w:numPr>
        <w:jc w:val="both"/>
        <w:rPr>
          <w:rFonts w:ascii="Garamond" w:hAnsi="Garamond"/>
          <w:sz w:val="24"/>
          <w:szCs w:val="24"/>
        </w:rPr>
      </w:pPr>
      <w:r w:rsidRPr="002A7A09">
        <w:rPr>
          <w:rFonts w:ascii="Garamond" w:hAnsi="Garamond"/>
          <w:sz w:val="24"/>
          <w:szCs w:val="24"/>
        </w:rPr>
        <w:t>Javaslattétel natúrpark kialakításának lehetőség</w:t>
      </w:r>
      <w:r w:rsidR="0040647E" w:rsidRPr="002A7A09">
        <w:rPr>
          <w:rFonts w:ascii="Garamond" w:hAnsi="Garamond"/>
          <w:sz w:val="24"/>
          <w:szCs w:val="24"/>
        </w:rPr>
        <w:t>é</w:t>
      </w:r>
      <w:r w:rsidRPr="002A7A09">
        <w:rPr>
          <w:rFonts w:ascii="Garamond" w:hAnsi="Garamond"/>
          <w:sz w:val="24"/>
          <w:szCs w:val="24"/>
        </w:rPr>
        <w:t>re</w:t>
      </w:r>
      <w:r w:rsidR="0040647E" w:rsidRPr="002A7A09">
        <w:rPr>
          <w:rFonts w:ascii="Garamond" w:hAnsi="Garamond"/>
          <w:sz w:val="24"/>
          <w:szCs w:val="24"/>
        </w:rPr>
        <w:t xml:space="preserve"> a zöldutas módszertan alkalmazásával</w:t>
      </w:r>
      <w:r w:rsidRPr="002A7A09">
        <w:rPr>
          <w:rFonts w:ascii="Garamond" w:hAnsi="Garamond"/>
          <w:sz w:val="24"/>
          <w:szCs w:val="24"/>
        </w:rPr>
        <w:t xml:space="preserve">, figyelemmel a fenntarthatóságra, és a helyi közösségek részvételével történő hasznosításra, valamint a helyi tájértékek helyi identitásban betöltött szerepének növelésére. </w:t>
      </w:r>
      <w:r w:rsidR="005E1E14" w:rsidRPr="002A7A09">
        <w:rPr>
          <w:rFonts w:ascii="Garamond" w:hAnsi="Garamond"/>
          <w:sz w:val="24"/>
          <w:szCs w:val="24"/>
        </w:rPr>
        <w:t>A natúrpark</w:t>
      </w:r>
      <w:r w:rsidR="0040647E" w:rsidRPr="002A7A09">
        <w:rPr>
          <w:rFonts w:ascii="Garamond" w:hAnsi="Garamond"/>
          <w:sz w:val="24"/>
          <w:szCs w:val="24"/>
        </w:rPr>
        <w:t>os</w:t>
      </w:r>
      <w:r w:rsidR="005E1E14" w:rsidRPr="002A7A09">
        <w:rPr>
          <w:rFonts w:ascii="Garamond" w:hAnsi="Garamond"/>
          <w:sz w:val="24"/>
          <w:szCs w:val="24"/>
        </w:rPr>
        <w:t xml:space="preserve"> és zöld</w:t>
      </w:r>
      <w:r w:rsidR="0040647E" w:rsidRPr="002A7A09">
        <w:rPr>
          <w:rFonts w:ascii="Garamond" w:hAnsi="Garamond"/>
          <w:sz w:val="24"/>
          <w:szCs w:val="24"/>
        </w:rPr>
        <w:t>utas</w:t>
      </w:r>
      <w:r w:rsidR="005E1E14" w:rsidRPr="002A7A09">
        <w:rPr>
          <w:rFonts w:ascii="Garamond" w:hAnsi="Garamond"/>
          <w:sz w:val="24"/>
          <w:szCs w:val="24"/>
        </w:rPr>
        <w:t xml:space="preserve"> kezdeményezések céljainak, jelentőségének bemutatása.</w:t>
      </w:r>
    </w:p>
    <w:p w:rsidR="00FE58C8" w:rsidRPr="002A7A09" w:rsidRDefault="00FE58C8" w:rsidP="00FE58C8">
      <w:pPr>
        <w:pStyle w:val="Listaszerbekezds"/>
        <w:rPr>
          <w:rFonts w:ascii="Garamond" w:hAnsi="Garamond"/>
          <w:sz w:val="24"/>
          <w:szCs w:val="24"/>
        </w:rPr>
      </w:pPr>
    </w:p>
    <w:p w:rsidR="00FE58C8" w:rsidRPr="002A7A09" w:rsidRDefault="00FE58C8" w:rsidP="008159CC">
      <w:pPr>
        <w:pStyle w:val="Listaszerbekezds"/>
        <w:numPr>
          <w:ilvl w:val="0"/>
          <w:numId w:val="1"/>
        </w:numPr>
        <w:jc w:val="both"/>
        <w:rPr>
          <w:rFonts w:ascii="Garamond" w:hAnsi="Garamond"/>
          <w:sz w:val="24"/>
          <w:szCs w:val="24"/>
        </w:rPr>
      </w:pPr>
      <w:r w:rsidRPr="002A7A09">
        <w:rPr>
          <w:rFonts w:ascii="Garamond" w:hAnsi="Garamond"/>
          <w:sz w:val="24"/>
          <w:szCs w:val="24"/>
        </w:rPr>
        <w:t xml:space="preserve">Javaslattétel az érintett települések értéktárainak és egyedi tájérték-katasztereinek elkészítésére, a Hetési és a Hortobágyi Mintaprogram során alkalmazott módszerek alapján. </w:t>
      </w:r>
    </w:p>
    <w:p w:rsidR="00F5015C" w:rsidRPr="002A7A09" w:rsidRDefault="00F5015C" w:rsidP="00F5015C">
      <w:pPr>
        <w:pStyle w:val="Listaszerbekezds"/>
        <w:rPr>
          <w:rFonts w:ascii="Garamond" w:hAnsi="Garamond"/>
          <w:sz w:val="24"/>
          <w:szCs w:val="24"/>
        </w:rPr>
      </w:pPr>
    </w:p>
    <w:p w:rsidR="00F5015C" w:rsidRPr="002A7A09" w:rsidRDefault="00FE58C8" w:rsidP="008159CC">
      <w:pPr>
        <w:pStyle w:val="Listaszerbekezds"/>
        <w:numPr>
          <w:ilvl w:val="0"/>
          <w:numId w:val="1"/>
        </w:numPr>
        <w:jc w:val="both"/>
        <w:rPr>
          <w:rFonts w:ascii="Garamond" w:hAnsi="Garamond"/>
          <w:sz w:val="24"/>
          <w:szCs w:val="24"/>
        </w:rPr>
      </w:pPr>
      <w:r w:rsidRPr="002A7A09">
        <w:rPr>
          <w:rFonts w:ascii="Garamond" w:hAnsi="Garamond"/>
          <w:sz w:val="24"/>
          <w:szCs w:val="24"/>
        </w:rPr>
        <w:t xml:space="preserve">A fiatal korosztály motiválása </w:t>
      </w:r>
      <w:r w:rsidR="009373ED" w:rsidRPr="002A7A09">
        <w:rPr>
          <w:rFonts w:ascii="Garamond" w:hAnsi="Garamond"/>
          <w:sz w:val="24"/>
          <w:szCs w:val="24"/>
        </w:rPr>
        <w:t>és szemléletformálása érdekében</w:t>
      </w:r>
      <w:r w:rsidRPr="002A7A09">
        <w:rPr>
          <w:rFonts w:ascii="Garamond" w:hAnsi="Garamond"/>
          <w:sz w:val="24"/>
          <w:szCs w:val="24"/>
        </w:rPr>
        <w:t xml:space="preserve"> </w:t>
      </w:r>
      <w:r w:rsidR="009373ED" w:rsidRPr="002A7A09">
        <w:rPr>
          <w:rFonts w:ascii="Garamond" w:hAnsi="Garamond"/>
          <w:sz w:val="24"/>
          <w:szCs w:val="24"/>
        </w:rPr>
        <w:t>szakmai közreműködés</w:t>
      </w:r>
      <w:r w:rsidRPr="002A7A09">
        <w:rPr>
          <w:rFonts w:ascii="Garamond" w:hAnsi="Garamond"/>
          <w:sz w:val="24"/>
          <w:szCs w:val="24"/>
        </w:rPr>
        <w:t xml:space="preserve"> a helyi általános iskolák felső tagozatos diákjai között meghirdetett rajz- és fotópályázatok előkészítésében, a pályamunkák értékelésében. </w:t>
      </w:r>
    </w:p>
    <w:p w:rsidR="00FE58C8" w:rsidRPr="002A7A09" w:rsidRDefault="00FE58C8" w:rsidP="00FE58C8">
      <w:pPr>
        <w:pStyle w:val="Listaszerbekezds"/>
        <w:rPr>
          <w:rFonts w:ascii="Garamond" w:hAnsi="Garamond"/>
          <w:sz w:val="24"/>
          <w:szCs w:val="24"/>
        </w:rPr>
      </w:pPr>
    </w:p>
    <w:p w:rsidR="00FE58C8" w:rsidRDefault="00FE58C8" w:rsidP="003F10C0">
      <w:pPr>
        <w:pStyle w:val="Listaszerbekezds"/>
        <w:numPr>
          <w:ilvl w:val="0"/>
          <w:numId w:val="1"/>
        </w:numPr>
        <w:jc w:val="both"/>
        <w:rPr>
          <w:rFonts w:ascii="Garamond" w:hAnsi="Garamond"/>
          <w:sz w:val="24"/>
          <w:szCs w:val="24"/>
        </w:rPr>
      </w:pPr>
      <w:r w:rsidRPr="002A7A09">
        <w:rPr>
          <w:rFonts w:ascii="Garamond" w:hAnsi="Garamond"/>
          <w:sz w:val="24"/>
          <w:szCs w:val="24"/>
        </w:rPr>
        <w:t xml:space="preserve">Részvétel az ifjúsági korosztályhoz kötődő intézmények (első sorban iskolák) közötti hatékony munkakapcsolat és aktív értékfeltáró tevékenység elősegítésében. </w:t>
      </w:r>
    </w:p>
    <w:p w:rsidR="00FF2636" w:rsidRPr="00FF2636" w:rsidRDefault="00FF2636" w:rsidP="00FF2636">
      <w:pPr>
        <w:pStyle w:val="Listaszerbekezds"/>
        <w:rPr>
          <w:rFonts w:ascii="Garamond" w:hAnsi="Garamond"/>
          <w:sz w:val="24"/>
          <w:szCs w:val="24"/>
        </w:rPr>
      </w:pPr>
    </w:p>
    <w:p w:rsidR="00FF2636" w:rsidRDefault="00FF2636" w:rsidP="00FF2636">
      <w:pPr>
        <w:jc w:val="both"/>
        <w:rPr>
          <w:rFonts w:ascii="Garamond" w:hAnsi="Garamond"/>
          <w:sz w:val="24"/>
          <w:szCs w:val="24"/>
        </w:rPr>
      </w:pPr>
    </w:p>
    <w:p w:rsidR="00FF2636" w:rsidRDefault="00FF2636" w:rsidP="00FF2636">
      <w:pPr>
        <w:jc w:val="both"/>
        <w:rPr>
          <w:rFonts w:ascii="Garamond" w:hAnsi="Garamond"/>
          <w:sz w:val="24"/>
          <w:szCs w:val="24"/>
        </w:rPr>
      </w:pPr>
    </w:p>
    <w:p w:rsidR="00FF2636" w:rsidRPr="00FF2636" w:rsidRDefault="00FF2636" w:rsidP="00FF2636">
      <w:pPr>
        <w:jc w:val="both"/>
        <w:rPr>
          <w:rFonts w:ascii="Garamond" w:hAnsi="Garamond"/>
          <w:sz w:val="24"/>
          <w:szCs w:val="24"/>
        </w:rPr>
      </w:pPr>
    </w:p>
    <w:p w:rsidR="00717804" w:rsidRPr="002A7A09" w:rsidRDefault="00717804" w:rsidP="00717804">
      <w:pPr>
        <w:pStyle w:val="Listaszerbekezds"/>
        <w:rPr>
          <w:rFonts w:ascii="Garamond" w:hAnsi="Garamond"/>
          <w:sz w:val="24"/>
          <w:szCs w:val="24"/>
        </w:rPr>
      </w:pPr>
    </w:p>
    <w:p w:rsidR="004E6EAF" w:rsidRDefault="00F05C03" w:rsidP="00717804">
      <w:pPr>
        <w:pStyle w:val="Listaszerbekezds"/>
        <w:numPr>
          <w:ilvl w:val="0"/>
          <w:numId w:val="1"/>
        </w:numPr>
        <w:jc w:val="both"/>
        <w:rPr>
          <w:rFonts w:ascii="Garamond" w:hAnsi="Garamond"/>
          <w:sz w:val="24"/>
          <w:szCs w:val="24"/>
        </w:rPr>
      </w:pPr>
      <w:r>
        <w:rPr>
          <w:rFonts w:ascii="Garamond" w:hAnsi="Garamond"/>
          <w:sz w:val="24"/>
          <w:szCs w:val="24"/>
        </w:rPr>
        <w:lastRenderedPageBreak/>
        <w:t>F</w:t>
      </w:r>
      <w:r w:rsidR="00717804" w:rsidRPr="002A7A09">
        <w:rPr>
          <w:rFonts w:ascii="Garamond" w:hAnsi="Garamond"/>
          <w:sz w:val="24"/>
          <w:szCs w:val="24"/>
        </w:rPr>
        <w:t>otósorozat készítése</w:t>
      </w:r>
      <w:r>
        <w:rPr>
          <w:rFonts w:ascii="Garamond" w:hAnsi="Garamond"/>
          <w:sz w:val="24"/>
          <w:szCs w:val="24"/>
        </w:rPr>
        <w:t xml:space="preserve">, amelynek anyaga </w:t>
      </w:r>
      <w:r w:rsidR="00717804" w:rsidRPr="002A7A09">
        <w:rPr>
          <w:rFonts w:ascii="Garamond" w:hAnsi="Garamond"/>
          <w:sz w:val="24"/>
          <w:szCs w:val="24"/>
        </w:rPr>
        <w:t>szabadon felhasználható a Programgazda szervezet bármely</w:t>
      </w:r>
      <w:r>
        <w:rPr>
          <w:rFonts w:ascii="Garamond" w:hAnsi="Garamond"/>
          <w:sz w:val="24"/>
          <w:szCs w:val="24"/>
        </w:rPr>
        <w:t xml:space="preserve">, </w:t>
      </w:r>
      <w:r w:rsidRPr="002A7A09">
        <w:rPr>
          <w:rFonts w:ascii="Garamond" w:hAnsi="Garamond"/>
          <w:sz w:val="24"/>
          <w:szCs w:val="24"/>
        </w:rPr>
        <w:t xml:space="preserve">az értékfelmérő program hatékony és sikeres megvalósulását </w:t>
      </w:r>
      <w:r>
        <w:rPr>
          <w:rFonts w:ascii="Garamond" w:hAnsi="Garamond"/>
          <w:sz w:val="24"/>
          <w:szCs w:val="24"/>
        </w:rPr>
        <w:t xml:space="preserve">elősegítő </w:t>
      </w:r>
      <w:r w:rsidR="00717804" w:rsidRPr="002A7A09">
        <w:rPr>
          <w:rFonts w:ascii="Garamond" w:hAnsi="Garamond"/>
          <w:sz w:val="24"/>
          <w:szCs w:val="24"/>
        </w:rPr>
        <w:t>további tevékenységéhez (fotókiállítások, reklámanyag, népszerűsítő és szemléletformáló kiadványok illetve elektronikus megjelenítés, stb.).</w:t>
      </w:r>
    </w:p>
    <w:p w:rsidR="00FF2636" w:rsidRPr="00FF2636" w:rsidRDefault="00FF2636" w:rsidP="00FF2636">
      <w:pPr>
        <w:pStyle w:val="Listaszerbekezds"/>
        <w:rPr>
          <w:rFonts w:ascii="Garamond" w:hAnsi="Garamond"/>
          <w:sz w:val="24"/>
          <w:szCs w:val="24"/>
        </w:rPr>
      </w:pPr>
    </w:p>
    <w:p w:rsidR="00F05C03" w:rsidRDefault="00F05C03" w:rsidP="00717804">
      <w:pPr>
        <w:pStyle w:val="Listaszerbekezds"/>
        <w:numPr>
          <w:ilvl w:val="0"/>
          <w:numId w:val="1"/>
        </w:numPr>
        <w:jc w:val="both"/>
        <w:rPr>
          <w:rFonts w:ascii="Garamond" w:hAnsi="Garamond"/>
          <w:sz w:val="24"/>
          <w:szCs w:val="24"/>
        </w:rPr>
      </w:pPr>
      <w:r>
        <w:rPr>
          <w:rFonts w:ascii="Garamond" w:hAnsi="Garamond"/>
          <w:sz w:val="24"/>
          <w:szCs w:val="24"/>
        </w:rPr>
        <w:t>Javaslattétel egy leromlott állapotú tájértéknek és/vagy környezetének, közösségi akció keretében történő helyreállítására. Részvétel a tájérték kiválasztásában, a közösségi akció előkészítésében és megvalósításában.</w:t>
      </w:r>
    </w:p>
    <w:p w:rsidR="00FF2636" w:rsidRDefault="00FF2636" w:rsidP="00FF2636">
      <w:pPr>
        <w:jc w:val="both"/>
        <w:rPr>
          <w:rFonts w:ascii="Garamond" w:hAnsi="Garamond"/>
          <w:sz w:val="24"/>
          <w:szCs w:val="24"/>
        </w:rPr>
      </w:pPr>
    </w:p>
    <w:p w:rsidR="00FF2636" w:rsidRDefault="00FF2636" w:rsidP="00FF2636">
      <w:pPr>
        <w:jc w:val="both"/>
        <w:rPr>
          <w:rFonts w:ascii="Garamond" w:hAnsi="Garamond"/>
          <w:sz w:val="24"/>
          <w:szCs w:val="24"/>
        </w:rPr>
      </w:pPr>
      <w:r>
        <w:rPr>
          <w:rFonts w:ascii="Garamond" w:hAnsi="Garamond"/>
          <w:sz w:val="24"/>
          <w:szCs w:val="24"/>
        </w:rPr>
        <w:t>Szíves állásfoglalásukat tisztelettel köszönöm.</w:t>
      </w:r>
    </w:p>
    <w:p w:rsidR="00FF2636" w:rsidRDefault="00FF2636" w:rsidP="00FF2636">
      <w:pPr>
        <w:jc w:val="both"/>
        <w:rPr>
          <w:rFonts w:ascii="Garamond" w:hAnsi="Garamond"/>
          <w:sz w:val="24"/>
          <w:szCs w:val="24"/>
        </w:rPr>
      </w:pPr>
      <w:r>
        <w:rPr>
          <w:rFonts w:ascii="Garamond" w:hAnsi="Garamond"/>
          <w:sz w:val="24"/>
          <w:szCs w:val="24"/>
        </w:rPr>
        <w:t>Ibrány, 2017. január 10.</w:t>
      </w:r>
    </w:p>
    <w:p w:rsidR="00FF2636" w:rsidRDefault="00FF2636" w:rsidP="00FF2636">
      <w:pPr>
        <w:jc w:val="both"/>
        <w:rPr>
          <w:rFonts w:ascii="Garamond" w:hAnsi="Garamond"/>
          <w:sz w:val="24"/>
          <w:szCs w:val="24"/>
        </w:rPr>
      </w:pPr>
    </w:p>
    <w:p w:rsidR="00FF2636" w:rsidRDefault="00FF2636" w:rsidP="00FF2636">
      <w:pPr>
        <w:spacing w:after="0" w:line="240" w:lineRule="auto"/>
        <w:ind w:left="4956" w:firstLine="708"/>
        <w:rPr>
          <w:rFonts w:ascii="Garamond" w:hAnsi="Garamond"/>
          <w:sz w:val="24"/>
          <w:szCs w:val="24"/>
        </w:rPr>
      </w:pPr>
      <w:r>
        <w:rPr>
          <w:rFonts w:ascii="Garamond" w:hAnsi="Garamond"/>
          <w:sz w:val="24"/>
          <w:szCs w:val="24"/>
        </w:rPr>
        <w:t xml:space="preserve">     Bíróné Nagy Csilla s.k.</w:t>
      </w:r>
    </w:p>
    <w:p w:rsidR="00FF2636" w:rsidRDefault="00FF2636" w:rsidP="00FF2636">
      <w:pPr>
        <w:spacing w:after="0" w:line="240" w:lineRule="auto"/>
        <w:ind w:left="5664" w:firstLine="708"/>
        <w:rPr>
          <w:rFonts w:ascii="Garamond" w:hAnsi="Garamond"/>
          <w:sz w:val="24"/>
          <w:szCs w:val="24"/>
        </w:rPr>
      </w:pPr>
      <w:proofErr w:type="gramStart"/>
      <w:r>
        <w:rPr>
          <w:rFonts w:ascii="Garamond" w:hAnsi="Garamond"/>
          <w:sz w:val="24"/>
          <w:szCs w:val="24"/>
        </w:rPr>
        <w:t>szakmai</w:t>
      </w:r>
      <w:proofErr w:type="gramEnd"/>
      <w:r>
        <w:rPr>
          <w:rFonts w:ascii="Garamond" w:hAnsi="Garamond"/>
          <w:sz w:val="24"/>
          <w:szCs w:val="24"/>
        </w:rPr>
        <w:t xml:space="preserve"> vezető</w:t>
      </w:r>
    </w:p>
    <w:p w:rsidR="00FF2636" w:rsidRPr="00FF2636" w:rsidRDefault="00FF2636" w:rsidP="00FF2636">
      <w:pPr>
        <w:spacing w:after="0" w:line="240" w:lineRule="auto"/>
        <w:jc w:val="both"/>
        <w:rPr>
          <w:rFonts w:ascii="Garamond" w:hAnsi="Garamond"/>
          <w:sz w:val="24"/>
          <w:szCs w:val="24"/>
        </w:rPr>
      </w:pPr>
    </w:p>
    <w:p w:rsidR="001C1820" w:rsidRDefault="001C1820">
      <w:pPr>
        <w:rPr>
          <w:rFonts w:ascii="Garamond" w:hAnsi="Garamond"/>
          <w:sz w:val="24"/>
          <w:szCs w:val="24"/>
        </w:rPr>
      </w:pPr>
    </w:p>
    <w:p w:rsidR="003758B6" w:rsidRDefault="003758B6">
      <w:pPr>
        <w:rPr>
          <w:rFonts w:ascii="Garamond" w:hAnsi="Garamond"/>
          <w:b/>
          <w:sz w:val="24"/>
          <w:szCs w:val="24"/>
        </w:rPr>
      </w:pPr>
      <w:r>
        <w:rPr>
          <w:rFonts w:ascii="Garamond" w:hAnsi="Garamond"/>
          <w:b/>
          <w:sz w:val="24"/>
          <w:szCs w:val="24"/>
        </w:rPr>
        <w:br w:type="page"/>
      </w:r>
    </w:p>
    <w:p w:rsidR="001C1820" w:rsidRDefault="001C1820" w:rsidP="001C1820">
      <w:pPr>
        <w:spacing w:after="0"/>
        <w:rPr>
          <w:rFonts w:ascii="Garamond" w:hAnsi="Garamond"/>
          <w:b/>
          <w:sz w:val="24"/>
          <w:szCs w:val="24"/>
        </w:rPr>
      </w:pPr>
      <w:r w:rsidRPr="001C1820">
        <w:rPr>
          <w:rFonts w:ascii="Garamond" w:hAnsi="Garamond"/>
          <w:b/>
          <w:sz w:val="24"/>
          <w:szCs w:val="24"/>
        </w:rPr>
        <w:lastRenderedPageBreak/>
        <w:t>Alapfogalmak</w:t>
      </w:r>
    </w:p>
    <w:p w:rsidR="001C1820" w:rsidRPr="001C1820" w:rsidRDefault="001C1820" w:rsidP="001C1820">
      <w:pPr>
        <w:spacing w:after="0"/>
        <w:rPr>
          <w:rFonts w:ascii="Garamond" w:hAnsi="Garamond"/>
          <w:b/>
          <w:sz w:val="24"/>
          <w:szCs w:val="24"/>
        </w:rPr>
      </w:pPr>
    </w:p>
    <w:p w:rsidR="001C1820" w:rsidRDefault="001C1820" w:rsidP="001C1820">
      <w:pPr>
        <w:spacing w:after="0"/>
        <w:jc w:val="both"/>
        <w:rPr>
          <w:rFonts w:ascii="Garamond" w:hAnsi="Garamond"/>
          <w:sz w:val="24"/>
          <w:szCs w:val="24"/>
        </w:rPr>
      </w:pPr>
      <w:r w:rsidRPr="001C1820">
        <w:rPr>
          <w:rFonts w:ascii="Garamond" w:hAnsi="Garamond"/>
          <w:b/>
          <w:sz w:val="24"/>
          <w:szCs w:val="24"/>
        </w:rPr>
        <w:t>Tájegységi értéktár: </w:t>
      </w:r>
      <w:r w:rsidRPr="001C1820">
        <w:rPr>
          <w:rFonts w:ascii="Garamond" w:hAnsi="Garamond"/>
          <w:sz w:val="24"/>
          <w:szCs w:val="24"/>
        </w:rPr>
        <w:t xml:space="preserve">több szomszédos település, illetve földrajzi, történelmi vagy néprajzi szempontok alapján egységet alkotó tájegység területén fellelhető nemzeti értékek közül az adott Tájegységi Értéktár Bizottság által tájegységi értékké nyilvánított értékek adatait tartalmazó gyűjtemény; </w:t>
      </w:r>
      <w:r>
        <w:rPr>
          <w:rFonts w:ascii="Garamond" w:hAnsi="Garamond"/>
          <w:sz w:val="24"/>
          <w:szCs w:val="24"/>
        </w:rPr>
        <w:t>(</w:t>
      </w:r>
      <w:proofErr w:type="spellStart"/>
      <w:r>
        <w:rPr>
          <w:rFonts w:ascii="Garamond" w:hAnsi="Garamond"/>
          <w:sz w:val="24"/>
          <w:szCs w:val="24"/>
        </w:rPr>
        <w:t>Htv</w:t>
      </w:r>
      <w:proofErr w:type="spellEnd"/>
      <w:r>
        <w:rPr>
          <w:rFonts w:ascii="Garamond" w:hAnsi="Garamond"/>
          <w:sz w:val="24"/>
          <w:szCs w:val="24"/>
        </w:rPr>
        <w:t xml:space="preserve">. </w:t>
      </w:r>
      <w:r w:rsidRPr="001C1820">
        <w:rPr>
          <w:rFonts w:ascii="Garamond" w:hAnsi="Garamond"/>
          <w:sz w:val="24"/>
          <w:szCs w:val="24"/>
        </w:rPr>
        <w:t>1. § (1)</w:t>
      </w:r>
      <w:r>
        <w:rPr>
          <w:rFonts w:ascii="Garamond" w:hAnsi="Garamond"/>
          <w:sz w:val="24"/>
          <w:szCs w:val="24"/>
        </w:rPr>
        <w:t xml:space="preserve"> </w:t>
      </w:r>
      <w:r w:rsidRPr="001C1820">
        <w:rPr>
          <w:rFonts w:ascii="Garamond" w:hAnsi="Garamond"/>
          <w:sz w:val="24"/>
          <w:szCs w:val="24"/>
        </w:rPr>
        <w:t>k)</w:t>
      </w:r>
      <w:r>
        <w:rPr>
          <w:rFonts w:ascii="Garamond" w:hAnsi="Garamond"/>
          <w:sz w:val="24"/>
          <w:szCs w:val="24"/>
        </w:rPr>
        <w:t>)</w:t>
      </w:r>
    </w:p>
    <w:p w:rsidR="001C1820" w:rsidRDefault="001C1820" w:rsidP="001C1820">
      <w:pPr>
        <w:spacing w:after="0"/>
        <w:jc w:val="both"/>
        <w:rPr>
          <w:rFonts w:ascii="Garamond" w:hAnsi="Garamond"/>
          <w:sz w:val="24"/>
          <w:szCs w:val="24"/>
        </w:rPr>
      </w:pPr>
    </w:p>
    <w:p w:rsidR="001C1820" w:rsidRPr="001C1820" w:rsidRDefault="001C1820" w:rsidP="001C1820">
      <w:pPr>
        <w:spacing w:after="120"/>
        <w:jc w:val="both"/>
        <w:rPr>
          <w:rFonts w:ascii="Garamond" w:hAnsi="Garamond"/>
          <w:b/>
          <w:sz w:val="24"/>
          <w:szCs w:val="24"/>
        </w:rPr>
      </w:pPr>
      <w:r w:rsidRPr="001C1820">
        <w:rPr>
          <w:rFonts w:ascii="Garamond" w:hAnsi="Garamond"/>
          <w:b/>
          <w:sz w:val="24"/>
          <w:szCs w:val="24"/>
        </w:rPr>
        <w:t>Tájegységi Értéktár Bizottság</w:t>
      </w:r>
    </w:p>
    <w:p w:rsidR="001C1820" w:rsidRPr="001C1820" w:rsidRDefault="001C1820" w:rsidP="001C1820">
      <w:pPr>
        <w:spacing w:after="0"/>
        <w:jc w:val="both"/>
        <w:rPr>
          <w:rFonts w:ascii="Garamond" w:hAnsi="Garamond"/>
          <w:sz w:val="24"/>
          <w:szCs w:val="24"/>
        </w:rPr>
      </w:pPr>
      <w:r w:rsidRPr="001C1820">
        <w:rPr>
          <w:rFonts w:ascii="Garamond" w:hAnsi="Garamond"/>
          <w:sz w:val="24"/>
          <w:szCs w:val="24"/>
        </w:rPr>
        <w:t>Több szomszédos települési önkormányzat Tájegységi Értéktár Bizottságot is létrehozhat, amely elkészíti a tájegységi értéktárat és annak adatait megküldi az érintett Megy</w:t>
      </w:r>
      <w:r>
        <w:rPr>
          <w:rFonts w:ascii="Garamond" w:hAnsi="Garamond"/>
          <w:sz w:val="24"/>
          <w:szCs w:val="24"/>
        </w:rPr>
        <w:t>ei Értéktár Bizottságok részére (</w:t>
      </w:r>
      <w:proofErr w:type="spellStart"/>
      <w:r>
        <w:rPr>
          <w:rFonts w:ascii="Garamond" w:hAnsi="Garamond"/>
          <w:sz w:val="24"/>
          <w:szCs w:val="24"/>
        </w:rPr>
        <w:t>Htv</w:t>
      </w:r>
      <w:proofErr w:type="spellEnd"/>
      <w:r>
        <w:rPr>
          <w:rFonts w:ascii="Garamond" w:hAnsi="Garamond"/>
          <w:sz w:val="24"/>
          <w:szCs w:val="24"/>
        </w:rPr>
        <w:t xml:space="preserve">. </w:t>
      </w:r>
      <w:r w:rsidRPr="001C1820">
        <w:rPr>
          <w:rFonts w:ascii="Garamond" w:hAnsi="Garamond"/>
          <w:sz w:val="24"/>
          <w:szCs w:val="24"/>
        </w:rPr>
        <w:t>3. §</w:t>
      </w:r>
      <w:r>
        <w:rPr>
          <w:rFonts w:ascii="Garamond" w:hAnsi="Garamond"/>
          <w:sz w:val="24"/>
          <w:szCs w:val="24"/>
        </w:rPr>
        <w:t xml:space="preserve"> </w:t>
      </w:r>
      <w:r w:rsidRPr="001C1820">
        <w:rPr>
          <w:rFonts w:ascii="Garamond" w:hAnsi="Garamond"/>
          <w:sz w:val="24"/>
          <w:szCs w:val="24"/>
        </w:rPr>
        <w:t>(3)</w:t>
      </w:r>
      <w:r>
        <w:rPr>
          <w:rFonts w:ascii="Garamond" w:hAnsi="Garamond"/>
          <w:sz w:val="24"/>
          <w:szCs w:val="24"/>
        </w:rPr>
        <w:t>)</w:t>
      </w:r>
    </w:p>
    <w:p w:rsidR="001C1820" w:rsidRDefault="001C1820" w:rsidP="001C1820">
      <w:pPr>
        <w:spacing w:after="0"/>
        <w:jc w:val="both"/>
        <w:rPr>
          <w:rFonts w:ascii="Garamond" w:hAnsi="Garamond"/>
          <w:sz w:val="24"/>
          <w:szCs w:val="24"/>
        </w:rPr>
      </w:pPr>
    </w:p>
    <w:p w:rsidR="003758B6" w:rsidRDefault="003758B6" w:rsidP="001C1820">
      <w:pPr>
        <w:spacing w:after="0"/>
        <w:jc w:val="both"/>
        <w:rPr>
          <w:rFonts w:ascii="Garamond" w:hAnsi="Garamond"/>
          <w:b/>
          <w:sz w:val="24"/>
          <w:szCs w:val="24"/>
        </w:rPr>
      </w:pPr>
      <w:r w:rsidRPr="003758B6">
        <w:rPr>
          <w:rFonts w:ascii="Garamond" w:hAnsi="Garamond"/>
          <w:b/>
          <w:sz w:val="24"/>
          <w:szCs w:val="24"/>
        </w:rPr>
        <w:t>Szakmai feladatok</w:t>
      </w:r>
    </w:p>
    <w:p w:rsidR="003758B6" w:rsidRPr="003758B6" w:rsidRDefault="003758B6" w:rsidP="001C1820">
      <w:pPr>
        <w:spacing w:after="0"/>
        <w:jc w:val="both"/>
        <w:rPr>
          <w:rFonts w:ascii="Garamond" w:hAnsi="Garamond"/>
          <w:b/>
          <w:sz w:val="24"/>
          <w:szCs w:val="24"/>
        </w:rPr>
      </w:pPr>
    </w:p>
    <w:tbl>
      <w:tblPr>
        <w:tblStyle w:val="Rcsostblzat"/>
        <w:tblW w:w="0" w:type="auto"/>
        <w:tblLook w:val="04A0" w:firstRow="1" w:lastRow="0" w:firstColumn="1" w:lastColumn="0" w:noHBand="0" w:noVBand="1"/>
      </w:tblPr>
      <w:tblGrid>
        <w:gridCol w:w="3104"/>
        <w:gridCol w:w="1931"/>
        <w:gridCol w:w="2250"/>
        <w:gridCol w:w="1777"/>
      </w:tblGrid>
      <w:tr w:rsidR="00AB7E3D" w:rsidRPr="003758B6" w:rsidTr="00D470CB">
        <w:tc>
          <w:tcPr>
            <w:tcW w:w="3227" w:type="dxa"/>
          </w:tcPr>
          <w:p w:rsidR="00AB7E3D" w:rsidRPr="003758B6" w:rsidRDefault="00AB7E3D" w:rsidP="00AB7E3D">
            <w:pPr>
              <w:spacing w:before="60" w:after="60"/>
              <w:jc w:val="center"/>
              <w:rPr>
                <w:rFonts w:ascii="Garamond" w:hAnsi="Garamond"/>
                <w:i/>
                <w:sz w:val="24"/>
                <w:szCs w:val="24"/>
              </w:rPr>
            </w:pPr>
            <w:r>
              <w:rPr>
                <w:rFonts w:ascii="Garamond" w:hAnsi="Garamond"/>
                <w:i/>
                <w:sz w:val="24"/>
                <w:szCs w:val="24"/>
              </w:rPr>
              <w:t>A projekt s</w:t>
            </w:r>
            <w:r w:rsidRPr="003758B6">
              <w:rPr>
                <w:rFonts w:ascii="Garamond" w:hAnsi="Garamond"/>
                <w:i/>
                <w:sz w:val="24"/>
                <w:szCs w:val="24"/>
              </w:rPr>
              <w:t xml:space="preserve">zakmai </w:t>
            </w:r>
            <w:r>
              <w:rPr>
                <w:rFonts w:ascii="Garamond" w:hAnsi="Garamond"/>
                <w:i/>
                <w:sz w:val="24"/>
                <w:szCs w:val="24"/>
              </w:rPr>
              <w:t xml:space="preserve">jellegű </w:t>
            </w:r>
            <w:r w:rsidRPr="003758B6">
              <w:rPr>
                <w:rFonts w:ascii="Garamond" w:hAnsi="Garamond"/>
                <w:i/>
                <w:sz w:val="24"/>
                <w:szCs w:val="24"/>
              </w:rPr>
              <w:t>feladat</w:t>
            </w:r>
            <w:r>
              <w:rPr>
                <w:rFonts w:ascii="Garamond" w:hAnsi="Garamond"/>
                <w:i/>
                <w:sz w:val="24"/>
                <w:szCs w:val="24"/>
              </w:rPr>
              <w:t>ai</w:t>
            </w:r>
          </w:p>
        </w:tc>
        <w:tc>
          <w:tcPr>
            <w:tcW w:w="1984" w:type="dxa"/>
          </w:tcPr>
          <w:p w:rsidR="00AB7E3D" w:rsidRPr="003758B6" w:rsidRDefault="00F05C03" w:rsidP="00F05C03">
            <w:pPr>
              <w:spacing w:before="60" w:after="60"/>
              <w:jc w:val="center"/>
              <w:rPr>
                <w:rFonts w:ascii="Garamond" w:hAnsi="Garamond"/>
                <w:i/>
                <w:sz w:val="24"/>
                <w:szCs w:val="24"/>
              </w:rPr>
            </w:pPr>
            <w:r>
              <w:rPr>
                <w:rFonts w:ascii="Garamond" w:hAnsi="Garamond"/>
                <w:i/>
                <w:sz w:val="24"/>
                <w:szCs w:val="24"/>
              </w:rPr>
              <w:t>K</w:t>
            </w:r>
            <w:r w:rsidR="00AB7E3D">
              <w:rPr>
                <w:rFonts w:ascii="Garamond" w:hAnsi="Garamond"/>
                <w:i/>
                <w:sz w:val="24"/>
                <w:szCs w:val="24"/>
              </w:rPr>
              <w:t>apcsolódó projektelemek</w:t>
            </w:r>
            <w:r>
              <w:rPr>
                <w:rFonts w:ascii="Garamond" w:hAnsi="Garamond"/>
                <w:i/>
                <w:sz w:val="24"/>
                <w:szCs w:val="24"/>
              </w:rPr>
              <w:t xml:space="preserve"> (a Projektgazda kivitelezésében)</w:t>
            </w:r>
          </w:p>
        </w:tc>
        <w:tc>
          <w:tcPr>
            <w:tcW w:w="2268" w:type="dxa"/>
          </w:tcPr>
          <w:p w:rsidR="00AB7E3D" w:rsidRPr="003758B6" w:rsidRDefault="00AB7E3D" w:rsidP="003758B6">
            <w:pPr>
              <w:spacing w:before="60" w:after="60"/>
              <w:jc w:val="center"/>
              <w:rPr>
                <w:rFonts w:ascii="Garamond" w:hAnsi="Garamond"/>
                <w:i/>
                <w:sz w:val="24"/>
                <w:szCs w:val="24"/>
              </w:rPr>
            </w:pPr>
            <w:r w:rsidRPr="003758B6">
              <w:rPr>
                <w:rFonts w:ascii="Garamond" w:hAnsi="Garamond"/>
                <w:i/>
                <w:sz w:val="24"/>
                <w:szCs w:val="24"/>
              </w:rPr>
              <w:t>Kimenet – projekten belül</w:t>
            </w:r>
          </w:p>
        </w:tc>
        <w:tc>
          <w:tcPr>
            <w:tcW w:w="1809" w:type="dxa"/>
          </w:tcPr>
          <w:p w:rsidR="00AB7E3D" w:rsidRPr="003758B6" w:rsidRDefault="00AB7E3D" w:rsidP="003758B6">
            <w:pPr>
              <w:spacing w:before="60" w:after="60"/>
              <w:jc w:val="center"/>
              <w:rPr>
                <w:rFonts w:ascii="Garamond" w:hAnsi="Garamond"/>
                <w:i/>
                <w:sz w:val="24"/>
                <w:szCs w:val="24"/>
              </w:rPr>
            </w:pPr>
            <w:r w:rsidRPr="003758B6">
              <w:rPr>
                <w:rFonts w:ascii="Garamond" w:hAnsi="Garamond"/>
                <w:i/>
                <w:sz w:val="24"/>
                <w:szCs w:val="24"/>
              </w:rPr>
              <w:t>Kimenet – projekten kívül</w:t>
            </w:r>
          </w:p>
        </w:tc>
      </w:tr>
      <w:tr w:rsidR="00AB7E3D" w:rsidTr="000176AC">
        <w:tc>
          <w:tcPr>
            <w:tcW w:w="3227" w:type="dxa"/>
            <w:vAlign w:val="center"/>
          </w:tcPr>
          <w:p w:rsidR="00AB7E3D" w:rsidRDefault="00AB7E3D" w:rsidP="003758B6">
            <w:pPr>
              <w:spacing w:before="60" w:after="60"/>
              <w:rPr>
                <w:rFonts w:ascii="Garamond" w:hAnsi="Garamond"/>
                <w:sz w:val="24"/>
                <w:szCs w:val="24"/>
              </w:rPr>
            </w:pPr>
            <w:r>
              <w:rPr>
                <w:rFonts w:ascii="Garamond" w:hAnsi="Garamond"/>
                <w:sz w:val="24"/>
                <w:szCs w:val="24"/>
              </w:rPr>
              <w:t>A közösségi tájérték-gyűjtéssel, mint módszerrel kapcsolatos tapasztalatok átadása a helyi közösségek érdeklődő tagjai részére</w:t>
            </w:r>
          </w:p>
        </w:tc>
        <w:tc>
          <w:tcPr>
            <w:tcW w:w="1984" w:type="dxa"/>
            <w:vAlign w:val="center"/>
          </w:tcPr>
          <w:p w:rsidR="00AB7E3D" w:rsidRDefault="00AB7E3D" w:rsidP="000176AC">
            <w:pPr>
              <w:spacing w:before="60" w:after="60"/>
              <w:rPr>
                <w:rFonts w:ascii="Garamond" w:hAnsi="Garamond"/>
                <w:sz w:val="24"/>
                <w:szCs w:val="24"/>
              </w:rPr>
            </w:pPr>
          </w:p>
        </w:tc>
        <w:tc>
          <w:tcPr>
            <w:tcW w:w="2268" w:type="dxa"/>
            <w:vAlign w:val="center"/>
          </w:tcPr>
          <w:p w:rsidR="00AB7E3D" w:rsidRDefault="000176AC" w:rsidP="000176AC">
            <w:pPr>
              <w:spacing w:before="60" w:after="60"/>
              <w:rPr>
                <w:rFonts w:ascii="Garamond" w:hAnsi="Garamond"/>
                <w:sz w:val="24"/>
                <w:szCs w:val="24"/>
              </w:rPr>
            </w:pPr>
            <w:r>
              <w:rPr>
                <w:rFonts w:ascii="Garamond" w:hAnsi="Garamond"/>
                <w:sz w:val="24"/>
                <w:szCs w:val="24"/>
              </w:rPr>
              <w:t>Szakmai műhelyek (2 alkalom)</w:t>
            </w:r>
          </w:p>
        </w:tc>
        <w:tc>
          <w:tcPr>
            <w:tcW w:w="1809" w:type="dxa"/>
            <w:vAlign w:val="center"/>
          </w:tcPr>
          <w:p w:rsidR="00AB7E3D" w:rsidRDefault="00AB7E3D" w:rsidP="000176AC">
            <w:pPr>
              <w:spacing w:before="60" w:after="60"/>
              <w:rPr>
                <w:rFonts w:ascii="Garamond" w:hAnsi="Garamond"/>
                <w:sz w:val="24"/>
                <w:szCs w:val="24"/>
              </w:rPr>
            </w:pPr>
            <w:r>
              <w:rPr>
                <w:rFonts w:ascii="Garamond" w:hAnsi="Garamond"/>
                <w:sz w:val="24"/>
                <w:szCs w:val="24"/>
              </w:rPr>
              <w:t>Települési értéktárak</w:t>
            </w:r>
          </w:p>
        </w:tc>
      </w:tr>
      <w:tr w:rsidR="00AB7E3D" w:rsidTr="000176AC">
        <w:tc>
          <w:tcPr>
            <w:tcW w:w="3227" w:type="dxa"/>
            <w:vAlign w:val="center"/>
          </w:tcPr>
          <w:p w:rsidR="00AB7E3D" w:rsidRDefault="00AB7E3D" w:rsidP="003758B6">
            <w:pPr>
              <w:spacing w:before="60" w:after="60"/>
              <w:rPr>
                <w:rFonts w:ascii="Garamond" w:hAnsi="Garamond"/>
                <w:sz w:val="24"/>
                <w:szCs w:val="24"/>
              </w:rPr>
            </w:pPr>
            <w:r>
              <w:rPr>
                <w:rFonts w:ascii="Garamond" w:hAnsi="Garamond"/>
                <w:sz w:val="24"/>
                <w:szCs w:val="24"/>
              </w:rPr>
              <w:t>A Rétköz, mint</w:t>
            </w:r>
            <w:r w:rsidRPr="001C1820">
              <w:rPr>
                <w:rFonts w:ascii="Garamond" w:hAnsi="Garamond"/>
                <w:sz w:val="24"/>
                <w:szCs w:val="24"/>
              </w:rPr>
              <w:t xml:space="preserve"> földrajzi</w:t>
            </w:r>
            <w:r>
              <w:rPr>
                <w:rFonts w:ascii="Garamond" w:hAnsi="Garamond"/>
                <w:sz w:val="24"/>
                <w:szCs w:val="24"/>
              </w:rPr>
              <w:t xml:space="preserve">, </w:t>
            </w:r>
            <w:r w:rsidRPr="001C1820">
              <w:rPr>
                <w:rFonts w:ascii="Garamond" w:hAnsi="Garamond"/>
                <w:sz w:val="24"/>
                <w:szCs w:val="24"/>
              </w:rPr>
              <w:t xml:space="preserve">történelmi </w:t>
            </w:r>
            <w:r>
              <w:rPr>
                <w:rFonts w:ascii="Garamond" w:hAnsi="Garamond"/>
                <w:sz w:val="24"/>
                <w:szCs w:val="24"/>
              </w:rPr>
              <w:t>és</w:t>
            </w:r>
            <w:r w:rsidRPr="001C1820">
              <w:rPr>
                <w:rFonts w:ascii="Garamond" w:hAnsi="Garamond"/>
                <w:sz w:val="24"/>
                <w:szCs w:val="24"/>
              </w:rPr>
              <w:t xml:space="preserve"> néprajzi szempontok alapján egységet alkotó tájegység területén fellelhető nemzeti értékek</w:t>
            </w:r>
            <w:r>
              <w:rPr>
                <w:rFonts w:ascii="Garamond" w:hAnsi="Garamond"/>
                <w:sz w:val="24"/>
                <w:szCs w:val="24"/>
              </w:rPr>
              <w:t xml:space="preserve"> közösségi alapú gyűjtése</w:t>
            </w:r>
          </w:p>
        </w:tc>
        <w:tc>
          <w:tcPr>
            <w:tcW w:w="1984" w:type="dxa"/>
            <w:vAlign w:val="center"/>
          </w:tcPr>
          <w:p w:rsidR="00AB7E3D" w:rsidRDefault="00AB7E3D" w:rsidP="000176AC">
            <w:pPr>
              <w:spacing w:before="60" w:after="60"/>
              <w:rPr>
                <w:rFonts w:ascii="Garamond" w:hAnsi="Garamond"/>
                <w:sz w:val="24"/>
                <w:szCs w:val="24"/>
              </w:rPr>
            </w:pPr>
          </w:p>
        </w:tc>
        <w:tc>
          <w:tcPr>
            <w:tcW w:w="2268" w:type="dxa"/>
            <w:vMerge w:val="restart"/>
            <w:vAlign w:val="center"/>
          </w:tcPr>
          <w:p w:rsidR="00AB7E3D" w:rsidRDefault="00AB7E3D" w:rsidP="000176AC">
            <w:pPr>
              <w:spacing w:before="60" w:after="60"/>
              <w:rPr>
                <w:rFonts w:ascii="Garamond" w:hAnsi="Garamond"/>
                <w:sz w:val="24"/>
                <w:szCs w:val="24"/>
              </w:rPr>
            </w:pPr>
            <w:r>
              <w:rPr>
                <w:rFonts w:ascii="Garamond" w:hAnsi="Garamond"/>
                <w:sz w:val="24"/>
                <w:szCs w:val="24"/>
              </w:rPr>
              <w:t>A Rétköz Tájegységi Értéktára</w:t>
            </w:r>
          </w:p>
          <w:p w:rsidR="00D470CB" w:rsidRDefault="00D470CB" w:rsidP="000176AC">
            <w:pPr>
              <w:spacing w:before="60" w:after="60"/>
              <w:rPr>
                <w:rFonts w:ascii="Garamond" w:hAnsi="Garamond"/>
                <w:sz w:val="24"/>
                <w:szCs w:val="24"/>
              </w:rPr>
            </w:pPr>
            <w:r>
              <w:rPr>
                <w:rFonts w:ascii="Garamond" w:hAnsi="Garamond"/>
                <w:sz w:val="24"/>
                <w:szCs w:val="24"/>
              </w:rPr>
              <w:t xml:space="preserve">A tájegységi értéktár elemeinek leírása és fotódokumentációja </w:t>
            </w:r>
          </w:p>
          <w:p w:rsidR="00AB7E3D" w:rsidRDefault="00AB7E3D" w:rsidP="000176AC">
            <w:pPr>
              <w:spacing w:before="60" w:after="60"/>
              <w:rPr>
                <w:rFonts w:ascii="Garamond" w:hAnsi="Garamond"/>
                <w:sz w:val="24"/>
                <w:szCs w:val="24"/>
              </w:rPr>
            </w:pPr>
            <w:r>
              <w:rPr>
                <w:rFonts w:ascii="Garamond" w:hAnsi="Garamond"/>
                <w:sz w:val="24"/>
                <w:szCs w:val="24"/>
              </w:rPr>
              <w:t>Tájséták (4 alkalom)</w:t>
            </w:r>
          </w:p>
          <w:p w:rsidR="00AB7E3D" w:rsidRDefault="00AB7E3D" w:rsidP="000176AC">
            <w:pPr>
              <w:spacing w:before="60" w:after="60"/>
              <w:rPr>
                <w:rFonts w:ascii="Garamond" w:hAnsi="Garamond"/>
                <w:sz w:val="24"/>
                <w:szCs w:val="24"/>
              </w:rPr>
            </w:pPr>
            <w:r>
              <w:rPr>
                <w:rFonts w:ascii="Garamond" w:hAnsi="Garamond"/>
                <w:sz w:val="24"/>
                <w:szCs w:val="24"/>
              </w:rPr>
              <w:t>Közösségi műhelyek (4 alkalom)</w:t>
            </w:r>
          </w:p>
        </w:tc>
        <w:tc>
          <w:tcPr>
            <w:tcW w:w="1809" w:type="dxa"/>
            <w:vAlign w:val="center"/>
          </w:tcPr>
          <w:p w:rsidR="00AB7E3D" w:rsidRDefault="00AB7E3D" w:rsidP="000176AC">
            <w:pPr>
              <w:spacing w:before="60" w:after="60"/>
              <w:rPr>
                <w:rFonts w:ascii="Garamond" w:hAnsi="Garamond"/>
                <w:sz w:val="24"/>
                <w:szCs w:val="24"/>
              </w:rPr>
            </w:pPr>
          </w:p>
        </w:tc>
      </w:tr>
      <w:tr w:rsidR="00AB7E3D" w:rsidTr="000176AC">
        <w:tc>
          <w:tcPr>
            <w:tcW w:w="3227" w:type="dxa"/>
            <w:vAlign w:val="center"/>
          </w:tcPr>
          <w:p w:rsidR="00AB7E3D" w:rsidRDefault="00AB7E3D" w:rsidP="003758B6">
            <w:pPr>
              <w:spacing w:before="60" w:after="60"/>
              <w:rPr>
                <w:rFonts w:ascii="Garamond" w:hAnsi="Garamond"/>
                <w:sz w:val="24"/>
                <w:szCs w:val="24"/>
              </w:rPr>
            </w:pPr>
            <w:r>
              <w:rPr>
                <w:rFonts w:ascii="Garamond" w:hAnsi="Garamond"/>
                <w:sz w:val="24"/>
                <w:szCs w:val="24"/>
              </w:rPr>
              <w:t xml:space="preserve">A Rétközi </w:t>
            </w:r>
            <w:r w:rsidRPr="001C1820">
              <w:rPr>
                <w:rFonts w:ascii="Garamond" w:hAnsi="Garamond"/>
                <w:sz w:val="24"/>
                <w:szCs w:val="24"/>
              </w:rPr>
              <w:t>Tájegységi Értéktár Bizottság</w:t>
            </w:r>
            <w:r>
              <w:rPr>
                <w:rFonts w:ascii="Garamond" w:hAnsi="Garamond"/>
                <w:sz w:val="24"/>
                <w:szCs w:val="24"/>
              </w:rPr>
              <w:t xml:space="preserve"> létrehozásában való szakmai közreműködés</w:t>
            </w:r>
          </w:p>
        </w:tc>
        <w:tc>
          <w:tcPr>
            <w:tcW w:w="1984" w:type="dxa"/>
            <w:vAlign w:val="center"/>
          </w:tcPr>
          <w:p w:rsidR="00AB7E3D" w:rsidRDefault="00AB7E3D" w:rsidP="000176AC">
            <w:pPr>
              <w:spacing w:before="60" w:after="60"/>
              <w:rPr>
                <w:rFonts w:ascii="Garamond" w:hAnsi="Garamond"/>
                <w:sz w:val="24"/>
                <w:szCs w:val="24"/>
              </w:rPr>
            </w:pPr>
          </w:p>
        </w:tc>
        <w:tc>
          <w:tcPr>
            <w:tcW w:w="2268" w:type="dxa"/>
            <w:vMerge/>
            <w:vAlign w:val="center"/>
          </w:tcPr>
          <w:p w:rsidR="00AB7E3D" w:rsidRDefault="00AB7E3D" w:rsidP="000176AC">
            <w:pPr>
              <w:spacing w:before="60" w:after="60"/>
              <w:rPr>
                <w:rFonts w:ascii="Garamond" w:hAnsi="Garamond"/>
                <w:sz w:val="24"/>
                <w:szCs w:val="24"/>
              </w:rPr>
            </w:pPr>
          </w:p>
        </w:tc>
        <w:tc>
          <w:tcPr>
            <w:tcW w:w="1809" w:type="dxa"/>
            <w:vAlign w:val="center"/>
          </w:tcPr>
          <w:p w:rsidR="00AB7E3D" w:rsidRDefault="00AB7E3D" w:rsidP="000176AC">
            <w:pPr>
              <w:spacing w:before="60" w:after="60"/>
              <w:rPr>
                <w:rFonts w:ascii="Garamond" w:hAnsi="Garamond"/>
                <w:sz w:val="24"/>
                <w:szCs w:val="24"/>
              </w:rPr>
            </w:pPr>
          </w:p>
        </w:tc>
      </w:tr>
      <w:tr w:rsidR="00AB7E3D" w:rsidTr="000176AC">
        <w:tc>
          <w:tcPr>
            <w:tcW w:w="3227" w:type="dxa"/>
            <w:vAlign w:val="center"/>
          </w:tcPr>
          <w:p w:rsidR="00AB7E3D" w:rsidRDefault="00D470CB" w:rsidP="00D470CB">
            <w:pPr>
              <w:spacing w:before="60" w:after="60"/>
              <w:rPr>
                <w:rFonts w:ascii="Garamond" w:hAnsi="Garamond"/>
                <w:sz w:val="24"/>
                <w:szCs w:val="24"/>
              </w:rPr>
            </w:pPr>
            <w:r>
              <w:rPr>
                <w:rFonts w:ascii="Garamond" w:hAnsi="Garamond"/>
                <w:sz w:val="24"/>
                <w:szCs w:val="24"/>
              </w:rPr>
              <w:t>Szakmai javaslat a</w:t>
            </w:r>
            <w:r w:rsidR="00AB7E3D">
              <w:rPr>
                <w:rFonts w:ascii="Garamond" w:hAnsi="Garamond"/>
                <w:sz w:val="24"/>
                <w:szCs w:val="24"/>
              </w:rPr>
              <w:t xml:space="preserve"> térségre jellemző nemzeti értékeket összekötő zöldút</w:t>
            </w:r>
            <w:r>
              <w:rPr>
                <w:rFonts w:ascii="Garamond" w:hAnsi="Garamond"/>
                <w:sz w:val="24"/>
                <w:szCs w:val="24"/>
              </w:rPr>
              <w:t>-hálózatra</w:t>
            </w:r>
          </w:p>
        </w:tc>
        <w:tc>
          <w:tcPr>
            <w:tcW w:w="1984" w:type="dxa"/>
            <w:vAlign w:val="center"/>
          </w:tcPr>
          <w:p w:rsidR="00AB7E3D" w:rsidRDefault="00AB7E3D" w:rsidP="000176AC">
            <w:pPr>
              <w:spacing w:before="60" w:after="60"/>
              <w:rPr>
                <w:rFonts w:ascii="Garamond" w:hAnsi="Garamond"/>
                <w:sz w:val="24"/>
                <w:szCs w:val="24"/>
              </w:rPr>
            </w:pPr>
          </w:p>
        </w:tc>
        <w:tc>
          <w:tcPr>
            <w:tcW w:w="2268" w:type="dxa"/>
            <w:vAlign w:val="center"/>
          </w:tcPr>
          <w:p w:rsidR="00AB7E3D" w:rsidRDefault="00D470CB" w:rsidP="000176AC">
            <w:pPr>
              <w:spacing w:before="60" w:after="60"/>
              <w:rPr>
                <w:rFonts w:ascii="Garamond" w:hAnsi="Garamond"/>
                <w:sz w:val="24"/>
                <w:szCs w:val="24"/>
              </w:rPr>
            </w:pPr>
            <w:r>
              <w:rPr>
                <w:rFonts w:ascii="Garamond" w:hAnsi="Garamond"/>
                <w:sz w:val="24"/>
                <w:szCs w:val="24"/>
              </w:rPr>
              <w:t>A Rétközi Zöldút koncepcióterve</w:t>
            </w:r>
          </w:p>
        </w:tc>
        <w:tc>
          <w:tcPr>
            <w:tcW w:w="1809" w:type="dxa"/>
            <w:vAlign w:val="center"/>
          </w:tcPr>
          <w:p w:rsidR="00AB7E3D" w:rsidRDefault="00D470CB" w:rsidP="000176AC">
            <w:pPr>
              <w:spacing w:before="60" w:after="60"/>
              <w:rPr>
                <w:rFonts w:ascii="Garamond" w:hAnsi="Garamond"/>
                <w:sz w:val="24"/>
                <w:szCs w:val="24"/>
              </w:rPr>
            </w:pPr>
            <w:r>
              <w:rPr>
                <w:rFonts w:ascii="Garamond" w:hAnsi="Garamond"/>
                <w:sz w:val="24"/>
                <w:szCs w:val="24"/>
              </w:rPr>
              <w:t>Rétközi Zöldút – közösségi jelzésfestéssel kijelölt nyomvonal</w:t>
            </w:r>
          </w:p>
        </w:tc>
      </w:tr>
      <w:tr w:rsidR="00AB7E3D" w:rsidTr="000176AC">
        <w:tc>
          <w:tcPr>
            <w:tcW w:w="3227" w:type="dxa"/>
            <w:vMerge w:val="restart"/>
            <w:vAlign w:val="center"/>
          </w:tcPr>
          <w:p w:rsidR="00AB7E3D" w:rsidRDefault="00AB7E3D" w:rsidP="003758B6">
            <w:pPr>
              <w:spacing w:before="60" w:after="60"/>
              <w:rPr>
                <w:rFonts w:ascii="Garamond" w:hAnsi="Garamond"/>
                <w:sz w:val="24"/>
                <w:szCs w:val="24"/>
              </w:rPr>
            </w:pPr>
            <w:r>
              <w:rPr>
                <w:rFonts w:ascii="Garamond" w:hAnsi="Garamond"/>
                <w:sz w:val="24"/>
                <w:szCs w:val="24"/>
              </w:rPr>
              <w:t>A Rétköz Tájegységi Értéktárának részét képező elemekkel kapcsolatos kommunikációban való szakmai közreműködés</w:t>
            </w:r>
          </w:p>
        </w:tc>
        <w:tc>
          <w:tcPr>
            <w:tcW w:w="1984" w:type="dxa"/>
            <w:vAlign w:val="center"/>
          </w:tcPr>
          <w:p w:rsidR="00AB7E3D" w:rsidRDefault="00AB7E3D" w:rsidP="000176AC">
            <w:pPr>
              <w:spacing w:before="60" w:after="60"/>
              <w:rPr>
                <w:rFonts w:ascii="Garamond" w:hAnsi="Garamond"/>
                <w:sz w:val="24"/>
                <w:szCs w:val="24"/>
              </w:rPr>
            </w:pPr>
            <w:r>
              <w:rPr>
                <w:rFonts w:ascii="Garamond" w:hAnsi="Garamond"/>
                <w:sz w:val="24"/>
                <w:szCs w:val="24"/>
              </w:rPr>
              <w:t>Kiállítás készítése</w:t>
            </w:r>
          </w:p>
        </w:tc>
        <w:tc>
          <w:tcPr>
            <w:tcW w:w="2268" w:type="dxa"/>
            <w:vAlign w:val="center"/>
          </w:tcPr>
          <w:p w:rsidR="00AB7E3D" w:rsidRDefault="00AB7E3D" w:rsidP="000176AC">
            <w:pPr>
              <w:spacing w:before="60" w:after="60"/>
              <w:rPr>
                <w:rFonts w:ascii="Garamond" w:hAnsi="Garamond"/>
                <w:sz w:val="24"/>
                <w:szCs w:val="24"/>
              </w:rPr>
            </w:pPr>
            <w:r>
              <w:rPr>
                <w:rFonts w:ascii="Garamond" w:hAnsi="Garamond"/>
                <w:sz w:val="24"/>
                <w:szCs w:val="24"/>
              </w:rPr>
              <w:t>A Rétköz Tájegységi Értéktára időszaki kiállítás</w:t>
            </w:r>
          </w:p>
        </w:tc>
        <w:tc>
          <w:tcPr>
            <w:tcW w:w="1809" w:type="dxa"/>
            <w:vAlign w:val="center"/>
          </w:tcPr>
          <w:p w:rsidR="00AB7E3D" w:rsidRDefault="00AB7E3D" w:rsidP="000176AC">
            <w:pPr>
              <w:spacing w:before="60" w:after="60"/>
              <w:rPr>
                <w:rFonts w:ascii="Garamond" w:hAnsi="Garamond"/>
                <w:sz w:val="24"/>
                <w:szCs w:val="24"/>
              </w:rPr>
            </w:pPr>
          </w:p>
        </w:tc>
      </w:tr>
      <w:tr w:rsidR="00AB7E3D" w:rsidTr="000176AC">
        <w:tc>
          <w:tcPr>
            <w:tcW w:w="3227" w:type="dxa"/>
            <w:vMerge/>
            <w:vAlign w:val="center"/>
          </w:tcPr>
          <w:p w:rsidR="00AB7E3D" w:rsidRDefault="00AB7E3D" w:rsidP="003758B6">
            <w:pPr>
              <w:spacing w:before="60" w:after="60"/>
              <w:rPr>
                <w:rFonts w:ascii="Garamond" w:hAnsi="Garamond"/>
                <w:sz w:val="24"/>
                <w:szCs w:val="24"/>
              </w:rPr>
            </w:pPr>
          </w:p>
        </w:tc>
        <w:tc>
          <w:tcPr>
            <w:tcW w:w="1984" w:type="dxa"/>
            <w:vAlign w:val="center"/>
          </w:tcPr>
          <w:p w:rsidR="00AB7E3D" w:rsidRDefault="00AB7E3D" w:rsidP="000176AC">
            <w:pPr>
              <w:spacing w:before="60" w:after="60"/>
              <w:rPr>
                <w:rFonts w:ascii="Garamond" w:hAnsi="Garamond"/>
                <w:sz w:val="24"/>
                <w:szCs w:val="24"/>
              </w:rPr>
            </w:pPr>
            <w:r>
              <w:rPr>
                <w:rFonts w:ascii="Garamond" w:hAnsi="Garamond"/>
                <w:sz w:val="24"/>
                <w:szCs w:val="24"/>
              </w:rPr>
              <w:t>Kiadvány készítése</w:t>
            </w:r>
          </w:p>
        </w:tc>
        <w:tc>
          <w:tcPr>
            <w:tcW w:w="2268" w:type="dxa"/>
            <w:vAlign w:val="center"/>
          </w:tcPr>
          <w:p w:rsidR="00AB7E3D" w:rsidRDefault="00AB7E3D" w:rsidP="000176AC">
            <w:pPr>
              <w:spacing w:before="60" w:after="60"/>
              <w:rPr>
                <w:rFonts w:ascii="Garamond" w:hAnsi="Garamond"/>
                <w:sz w:val="24"/>
                <w:szCs w:val="24"/>
              </w:rPr>
            </w:pPr>
            <w:r>
              <w:rPr>
                <w:rFonts w:ascii="Garamond" w:hAnsi="Garamond"/>
                <w:sz w:val="24"/>
                <w:szCs w:val="24"/>
              </w:rPr>
              <w:t>A Rétköz Tájegységi Értéktára kiadvány</w:t>
            </w:r>
          </w:p>
        </w:tc>
        <w:tc>
          <w:tcPr>
            <w:tcW w:w="1809" w:type="dxa"/>
            <w:vAlign w:val="center"/>
          </w:tcPr>
          <w:p w:rsidR="00AB7E3D" w:rsidRDefault="00AB7E3D" w:rsidP="000176AC">
            <w:pPr>
              <w:spacing w:before="60" w:after="60"/>
              <w:rPr>
                <w:rFonts w:ascii="Garamond" w:hAnsi="Garamond"/>
                <w:sz w:val="24"/>
                <w:szCs w:val="24"/>
              </w:rPr>
            </w:pPr>
          </w:p>
        </w:tc>
      </w:tr>
    </w:tbl>
    <w:p w:rsidR="003758B6" w:rsidRDefault="003758B6" w:rsidP="001C1820">
      <w:pPr>
        <w:spacing w:after="0"/>
        <w:jc w:val="both"/>
        <w:rPr>
          <w:rFonts w:ascii="Garamond" w:hAnsi="Garamond"/>
          <w:sz w:val="24"/>
          <w:szCs w:val="24"/>
        </w:rPr>
      </w:pPr>
    </w:p>
    <w:p w:rsidR="003758B6" w:rsidRPr="001C1820" w:rsidRDefault="003758B6" w:rsidP="001C1820">
      <w:pPr>
        <w:spacing w:after="0"/>
        <w:jc w:val="both"/>
        <w:rPr>
          <w:rFonts w:ascii="Garamond" w:hAnsi="Garamond"/>
          <w:sz w:val="24"/>
          <w:szCs w:val="24"/>
        </w:rPr>
      </w:pPr>
    </w:p>
    <w:p w:rsidR="004E6EAF" w:rsidRDefault="004E6EAF" w:rsidP="001C1820">
      <w:pPr>
        <w:spacing w:after="0"/>
        <w:rPr>
          <w:rFonts w:ascii="Garamond" w:hAnsi="Garamond"/>
          <w:sz w:val="24"/>
          <w:szCs w:val="24"/>
        </w:rPr>
      </w:pPr>
      <w:r>
        <w:rPr>
          <w:rFonts w:ascii="Garamond" w:hAnsi="Garamond"/>
          <w:sz w:val="24"/>
          <w:szCs w:val="24"/>
        </w:rPr>
        <w:br w:type="page"/>
      </w:r>
    </w:p>
    <w:p w:rsidR="001C1820" w:rsidRDefault="001C1820" w:rsidP="001C1820">
      <w:pPr>
        <w:pStyle w:val="NormlWeb"/>
        <w:spacing w:before="160" w:beforeAutospacing="0" w:after="80" w:afterAutospacing="0"/>
        <w:ind w:firstLine="180"/>
        <w:jc w:val="center"/>
        <w:rPr>
          <w:rFonts w:ascii="Garamond" w:hAnsi="Garamond" w:cs="Times"/>
          <w:b/>
          <w:bCs/>
          <w:color w:val="000000"/>
        </w:rPr>
      </w:pPr>
      <w:r>
        <w:rPr>
          <w:rFonts w:ascii="Garamond" w:hAnsi="Garamond" w:cs="Times"/>
          <w:b/>
          <w:bCs/>
          <w:color w:val="000000"/>
        </w:rPr>
        <w:lastRenderedPageBreak/>
        <w:t>Tájegységi értéktár a jogszabályokban</w:t>
      </w:r>
    </w:p>
    <w:p w:rsidR="001C1820" w:rsidRDefault="001C1820" w:rsidP="001C1820">
      <w:pPr>
        <w:pStyle w:val="NormlWeb"/>
        <w:spacing w:before="160" w:beforeAutospacing="0" w:after="80" w:afterAutospacing="0"/>
        <w:ind w:firstLine="180"/>
        <w:jc w:val="center"/>
        <w:rPr>
          <w:rFonts w:ascii="Garamond" w:hAnsi="Garamond" w:cs="Times"/>
          <w:b/>
          <w:bCs/>
          <w:color w:val="000000"/>
        </w:rPr>
      </w:pPr>
    </w:p>
    <w:p w:rsidR="001C1820" w:rsidRPr="001C1820" w:rsidRDefault="001C1820" w:rsidP="001C1820">
      <w:pPr>
        <w:pStyle w:val="NormlWeb"/>
        <w:spacing w:before="160" w:beforeAutospacing="0" w:after="80" w:afterAutospacing="0"/>
        <w:ind w:firstLine="180"/>
        <w:jc w:val="center"/>
        <w:rPr>
          <w:rFonts w:ascii="Garamond" w:hAnsi="Garamond" w:cs="Times"/>
          <w:b/>
          <w:bCs/>
          <w:color w:val="000000"/>
        </w:rPr>
      </w:pPr>
      <w:r w:rsidRPr="001C1820">
        <w:rPr>
          <w:rFonts w:ascii="Garamond" w:hAnsi="Garamond" w:cs="Times"/>
          <w:b/>
          <w:bCs/>
          <w:color w:val="000000"/>
        </w:rPr>
        <w:t>2012. évi XXX. törvény</w:t>
      </w:r>
      <w:r>
        <w:rPr>
          <w:rFonts w:ascii="Garamond" w:hAnsi="Garamond" w:cs="Times"/>
          <w:b/>
          <w:bCs/>
          <w:color w:val="000000"/>
        </w:rPr>
        <w:t xml:space="preserve"> </w:t>
      </w:r>
      <w:r w:rsidRPr="001C1820">
        <w:rPr>
          <w:rFonts w:ascii="Garamond" w:hAnsi="Garamond" w:cs="Times"/>
          <w:b/>
          <w:bCs/>
          <w:color w:val="000000"/>
        </w:rPr>
        <w:t xml:space="preserve">a magyar nemzeti értékekről és a </w:t>
      </w:r>
      <w:proofErr w:type="spellStart"/>
      <w:r w:rsidRPr="001C1820">
        <w:rPr>
          <w:rFonts w:ascii="Garamond" w:hAnsi="Garamond" w:cs="Times"/>
          <w:b/>
          <w:bCs/>
          <w:color w:val="000000"/>
        </w:rPr>
        <w:t>hungarikumokról</w:t>
      </w:r>
      <w:proofErr w:type="spellEnd"/>
    </w:p>
    <w:p w:rsidR="001C1820" w:rsidRPr="001C1820" w:rsidRDefault="001C1820" w:rsidP="001C1820">
      <w:pPr>
        <w:jc w:val="both"/>
        <w:rPr>
          <w:rFonts w:ascii="Garamond" w:hAnsi="Garamond"/>
          <w:sz w:val="24"/>
          <w:szCs w:val="24"/>
        </w:rPr>
      </w:pPr>
      <w:r w:rsidRPr="001C1820">
        <w:rPr>
          <w:rFonts w:ascii="Garamond" w:hAnsi="Garamond"/>
          <w:sz w:val="24"/>
          <w:szCs w:val="24"/>
        </w:rPr>
        <w:t>1. § (1)</w:t>
      </w:r>
      <w:bookmarkStart w:id="1" w:name="foot_3_place"/>
      <w:r w:rsidRPr="001C1820">
        <w:rPr>
          <w:rFonts w:ascii="Garamond" w:hAnsi="Garamond"/>
          <w:sz w:val="24"/>
          <w:szCs w:val="24"/>
        </w:rPr>
        <w:fldChar w:fldCharType="begin"/>
      </w:r>
      <w:r w:rsidRPr="001C1820">
        <w:rPr>
          <w:rFonts w:ascii="Garamond" w:hAnsi="Garamond"/>
          <w:sz w:val="24"/>
          <w:szCs w:val="24"/>
        </w:rPr>
        <w:instrText xml:space="preserve"> HYPERLINK "http://njt.hu/cgi_bin/njt_doc.cgi?docid=147471.294700" \l "foot3" </w:instrText>
      </w:r>
      <w:r w:rsidRPr="001C1820">
        <w:rPr>
          <w:rFonts w:ascii="Garamond" w:hAnsi="Garamond"/>
          <w:sz w:val="24"/>
          <w:szCs w:val="24"/>
        </w:rPr>
        <w:fldChar w:fldCharType="separate"/>
      </w:r>
      <w:r w:rsidRPr="001C1820">
        <w:rPr>
          <w:rFonts w:ascii="Garamond" w:hAnsi="Garamond"/>
          <w:sz w:val="24"/>
          <w:szCs w:val="24"/>
        </w:rPr>
        <w:t>3</w:t>
      </w:r>
      <w:r w:rsidRPr="001C1820">
        <w:rPr>
          <w:rFonts w:ascii="Garamond" w:hAnsi="Garamond"/>
          <w:sz w:val="24"/>
          <w:szCs w:val="24"/>
        </w:rPr>
        <w:fldChar w:fldCharType="end"/>
      </w:r>
      <w:bookmarkEnd w:id="1"/>
      <w:r w:rsidRPr="001C1820">
        <w:rPr>
          <w:rFonts w:ascii="Garamond" w:hAnsi="Garamond"/>
          <w:sz w:val="24"/>
          <w:szCs w:val="24"/>
        </w:rPr>
        <w:t> E törvény alkalmazásában:</w:t>
      </w:r>
    </w:p>
    <w:p w:rsidR="001C1820" w:rsidRPr="001C1820" w:rsidRDefault="001C1820" w:rsidP="001C1820">
      <w:pPr>
        <w:jc w:val="both"/>
        <w:rPr>
          <w:rFonts w:ascii="Garamond" w:hAnsi="Garamond"/>
          <w:sz w:val="24"/>
          <w:szCs w:val="24"/>
        </w:rPr>
      </w:pPr>
      <w:r w:rsidRPr="001C1820">
        <w:rPr>
          <w:rFonts w:ascii="Garamond" w:hAnsi="Garamond"/>
          <w:sz w:val="24"/>
          <w:szCs w:val="24"/>
        </w:rPr>
        <w:t>k) tájegységi értéktár: több szomszédos település, illetve földrajzi, történelmi vagy néprajzi szempontok alapján egységet alkotó tájegység területén fellelhető nemzeti értékek közül az adott Tájegységi Értéktár Bizottság által tájegységi értékké nyilvánított értékek adatait tartalmazó gyűjtemény;</w:t>
      </w:r>
    </w:p>
    <w:p w:rsidR="001C1820" w:rsidRPr="001C1820" w:rsidRDefault="001C1820" w:rsidP="001C1820">
      <w:pPr>
        <w:pStyle w:val="NormlWeb"/>
        <w:spacing w:before="160" w:beforeAutospacing="0" w:after="160" w:afterAutospacing="0"/>
        <w:ind w:firstLine="180"/>
        <w:jc w:val="center"/>
        <w:rPr>
          <w:rFonts w:ascii="Garamond" w:hAnsi="Garamond" w:cs="Times"/>
          <w:color w:val="000000"/>
        </w:rPr>
      </w:pPr>
      <w:r w:rsidRPr="001C1820">
        <w:rPr>
          <w:rFonts w:ascii="Garamond" w:hAnsi="Garamond" w:cs="Times"/>
          <w:b/>
          <w:bCs/>
          <w:color w:val="000000"/>
        </w:rPr>
        <w:t>3. Települési, valamint tájegységi értéktár</w:t>
      </w:r>
    </w:p>
    <w:p w:rsidR="001C1820" w:rsidRPr="001C1820" w:rsidRDefault="001C1820" w:rsidP="001C1820">
      <w:pPr>
        <w:jc w:val="both"/>
        <w:rPr>
          <w:rFonts w:ascii="Garamond" w:hAnsi="Garamond"/>
          <w:sz w:val="24"/>
          <w:szCs w:val="24"/>
        </w:rPr>
      </w:pPr>
      <w:r w:rsidRPr="001C1820">
        <w:rPr>
          <w:rFonts w:ascii="Garamond" w:hAnsi="Garamond"/>
          <w:sz w:val="24"/>
          <w:szCs w:val="24"/>
        </w:rPr>
        <w:t>3. § (1) A települési önkormányzat települési értéktárat hozhat létre.</w:t>
      </w:r>
    </w:p>
    <w:p w:rsidR="001C1820" w:rsidRPr="001C1820" w:rsidRDefault="001C1820" w:rsidP="001C1820">
      <w:pPr>
        <w:jc w:val="both"/>
        <w:rPr>
          <w:rFonts w:ascii="Garamond" w:hAnsi="Garamond"/>
          <w:sz w:val="24"/>
          <w:szCs w:val="24"/>
        </w:rPr>
      </w:pPr>
      <w:r w:rsidRPr="001C1820">
        <w:rPr>
          <w:rFonts w:ascii="Garamond" w:hAnsi="Garamond"/>
          <w:sz w:val="24"/>
          <w:szCs w:val="24"/>
        </w:rPr>
        <w:t>(2) A települési önkormányzat Települési Értéktár Bizottságot hozhat létre, amely – az e törvény végrehajtására kiadott jogszabályban meghatározottak szerint – azonosítja a településen fellelhető nemzeti értékeket, létrehozza a települési értéktárat és nyilvántartás céljából megküldi azt a Megyei Értéktár Bizottság részére.</w:t>
      </w:r>
    </w:p>
    <w:p w:rsidR="001C1820" w:rsidRPr="001C1820" w:rsidRDefault="001C1820" w:rsidP="001C1820">
      <w:pPr>
        <w:jc w:val="both"/>
        <w:rPr>
          <w:rFonts w:ascii="Garamond" w:hAnsi="Garamond"/>
          <w:sz w:val="24"/>
          <w:szCs w:val="24"/>
        </w:rPr>
      </w:pPr>
      <w:r w:rsidRPr="001C1820">
        <w:rPr>
          <w:rFonts w:ascii="Garamond" w:hAnsi="Garamond"/>
          <w:sz w:val="24"/>
          <w:szCs w:val="24"/>
        </w:rPr>
        <w:t>(3) Több szomszédos települési önkormányzat Tájegységi Értéktár Bizottságot is létrehozhat, amely elkészíti a tájegységi értéktárat és annak adatait megküldi az érintett Megyei Értéktár Bizottságok részére.</w:t>
      </w:r>
    </w:p>
    <w:p w:rsidR="001C1820" w:rsidRPr="001C1820" w:rsidRDefault="001C1820" w:rsidP="001C1820">
      <w:pPr>
        <w:jc w:val="both"/>
        <w:rPr>
          <w:rFonts w:ascii="Garamond" w:hAnsi="Garamond"/>
          <w:sz w:val="24"/>
          <w:szCs w:val="24"/>
        </w:rPr>
      </w:pPr>
      <w:r w:rsidRPr="001C1820">
        <w:rPr>
          <w:rFonts w:ascii="Garamond" w:hAnsi="Garamond"/>
          <w:sz w:val="24"/>
          <w:szCs w:val="24"/>
        </w:rPr>
        <w:t>(4) </w:t>
      </w:r>
      <w:proofErr w:type="gramStart"/>
      <w:r w:rsidRPr="001C1820">
        <w:rPr>
          <w:rFonts w:ascii="Garamond" w:hAnsi="Garamond"/>
          <w:sz w:val="24"/>
          <w:szCs w:val="24"/>
        </w:rPr>
        <w:t>A települési önkormányzat a települési, tájegységi értékek azonosításával, a települési, tájegységi értéktár létrehozatalával és annak gondozásával, valamint adatainak az érintett Megyei Értéktár Bizottság részére történő megküldésével megbízhat a település, tájegység területén működő, nemzeti értékek azonosítását, gondozását végző állami, települési önkormányzati, egyházi vagy civil szervezetet, közalapítványt, ilyen szervezet által fenntartott intézményt vagy annak szervezeti egységét, vagy a településfejlesztésben tevékenykedő külső településfejlesztési, vidékfejlesztési szervezetet (a továbbiakban</w:t>
      </w:r>
      <w:proofErr w:type="gramEnd"/>
      <w:r w:rsidRPr="001C1820">
        <w:rPr>
          <w:rFonts w:ascii="Garamond" w:hAnsi="Garamond"/>
          <w:sz w:val="24"/>
          <w:szCs w:val="24"/>
        </w:rPr>
        <w:t xml:space="preserve"> </w:t>
      </w:r>
      <w:proofErr w:type="gramStart"/>
      <w:r w:rsidRPr="001C1820">
        <w:rPr>
          <w:rFonts w:ascii="Garamond" w:hAnsi="Garamond"/>
          <w:sz w:val="24"/>
          <w:szCs w:val="24"/>
        </w:rPr>
        <w:t>együtt</w:t>
      </w:r>
      <w:proofErr w:type="gramEnd"/>
      <w:r w:rsidRPr="001C1820">
        <w:rPr>
          <w:rFonts w:ascii="Garamond" w:hAnsi="Garamond"/>
          <w:sz w:val="24"/>
          <w:szCs w:val="24"/>
        </w:rPr>
        <w:t>: települési szervezet). A települési szervezet jogai megegyeznek a Települési Értéktár Bizottság, illetve a Tájegységi Értéktár Bizottság jogaival.</w:t>
      </w:r>
    </w:p>
    <w:p w:rsidR="001C1820" w:rsidRPr="001C1820" w:rsidRDefault="001C1820" w:rsidP="001C1820">
      <w:pPr>
        <w:jc w:val="both"/>
        <w:rPr>
          <w:rFonts w:ascii="Garamond" w:hAnsi="Garamond"/>
          <w:sz w:val="24"/>
          <w:szCs w:val="24"/>
        </w:rPr>
      </w:pPr>
      <w:r w:rsidRPr="001C1820">
        <w:rPr>
          <w:rFonts w:ascii="Garamond" w:hAnsi="Garamond"/>
          <w:sz w:val="24"/>
          <w:szCs w:val="24"/>
        </w:rPr>
        <w:t xml:space="preserve">(5) A Települési, illetve Tájegységi Értéktár Bizottság létrehozásáról vagy a (4) bekezdés szerinti feladatok ellátásával történő megbízásról az érintett települési önkormányzat vagy önkormányzatok a létrehozást, illetve a megbízást követő 30 napon belül tájékoztatja, illetve tájékoztatják a </w:t>
      </w:r>
      <w:proofErr w:type="spellStart"/>
      <w:r w:rsidRPr="001C1820">
        <w:rPr>
          <w:rFonts w:ascii="Garamond" w:hAnsi="Garamond"/>
          <w:sz w:val="24"/>
          <w:szCs w:val="24"/>
        </w:rPr>
        <w:t>HB-t</w:t>
      </w:r>
      <w:proofErr w:type="spellEnd"/>
      <w:r w:rsidRPr="001C1820">
        <w:rPr>
          <w:rFonts w:ascii="Garamond" w:hAnsi="Garamond"/>
          <w:sz w:val="24"/>
          <w:szCs w:val="24"/>
        </w:rPr>
        <w:t xml:space="preserve"> és az érintett megyei értéktár bizottságot vagy bizottságokat.</w:t>
      </w:r>
    </w:p>
    <w:p w:rsidR="001C1820" w:rsidRPr="001C1820" w:rsidRDefault="001C1820" w:rsidP="001C1820">
      <w:pPr>
        <w:pStyle w:val="NormlWeb"/>
        <w:spacing w:before="0" w:beforeAutospacing="0" w:after="20" w:afterAutospacing="0"/>
        <w:ind w:firstLine="180"/>
        <w:jc w:val="both"/>
        <w:rPr>
          <w:rFonts w:ascii="Garamond" w:hAnsi="Garamond" w:cs="Times"/>
          <w:color w:val="000000"/>
        </w:rPr>
      </w:pPr>
      <w:r w:rsidRPr="001C1820">
        <w:rPr>
          <w:rFonts w:ascii="Garamond" w:hAnsi="Garamond" w:cs="Times"/>
          <w:b/>
          <w:bCs/>
          <w:color w:val="000000"/>
        </w:rPr>
        <w:t>4. §</w:t>
      </w:r>
      <w:r w:rsidRPr="001C1820">
        <w:rPr>
          <w:rStyle w:val="apple-converted-space"/>
          <w:rFonts w:ascii="Garamond" w:hAnsi="Garamond" w:cs="Times"/>
          <w:color w:val="000000"/>
        </w:rPr>
        <w:t> </w:t>
      </w:r>
      <w:r w:rsidRPr="001C1820">
        <w:rPr>
          <w:rFonts w:ascii="Garamond" w:hAnsi="Garamond" w:cs="Times"/>
          <w:color w:val="000000"/>
        </w:rPr>
        <w:t>(1) A megyei önkormányzat megyei értéktárat hozhat létre.</w:t>
      </w:r>
    </w:p>
    <w:p w:rsidR="001C1820" w:rsidRPr="001C1820" w:rsidRDefault="001C1820" w:rsidP="001C1820">
      <w:pPr>
        <w:jc w:val="both"/>
        <w:rPr>
          <w:rFonts w:ascii="Garamond" w:hAnsi="Garamond"/>
          <w:sz w:val="24"/>
          <w:szCs w:val="24"/>
        </w:rPr>
      </w:pPr>
      <w:r w:rsidRPr="001C1820">
        <w:rPr>
          <w:rFonts w:ascii="Garamond" w:hAnsi="Garamond"/>
          <w:sz w:val="24"/>
          <w:szCs w:val="24"/>
        </w:rPr>
        <w:t xml:space="preserve">(2) A megyei önkormányzat Megyei Értéktár Bizottságot hozhat létre, amely – az e törvény végrehajtására kiadott jogszabályban meghatározottak szerint – szervezi a megye területén azonosított települési és tájegységi értéktárak adatainak összesítését, azonosítja a megye területén fellelhető nemzeti értékeket, dönt a megyei értéktárba bekerülő nemzeti értékekről, létrehozza a megyei értéktárat és nyilvántartás céljából megküldi azt a </w:t>
      </w:r>
      <w:proofErr w:type="spellStart"/>
      <w:r w:rsidRPr="001C1820">
        <w:rPr>
          <w:rFonts w:ascii="Garamond" w:hAnsi="Garamond"/>
          <w:sz w:val="24"/>
          <w:szCs w:val="24"/>
        </w:rPr>
        <w:t>HB-nek</w:t>
      </w:r>
      <w:proofErr w:type="spellEnd"/>
      <w:r w:rsidRPr="001C1820">
        <w:rPr>
          <w:rFonts w:ascii="Garamond" w:hAnsi="Garamond"/>
          <w:sz w:val="24"/>
          <w:szCs w:val="24"/>
        </w:rPr>
        <w:t>.</w:t>
      </w:r>
    </w:p>
    <w:p w:rsidR="001C1820" w:rsidRPr="001C1820" w:rsidRDefault="001C1820" w:rsidP="001C1820">
      <w:pPr>
        <w:jc w:val="both"/>
        <w:rPr>
          <w:rFonts w:ascii="Garamond" w:hAnsi="Garamond"/>
          <w:sz w:val="24"/>
          <w:szCs w:val="24"/>
        </w:rPr>
      </w:pPr>
    </w:p>
    <w:p w:rsidR="004E6EAF" w:rsidRPr="001C1820" w:rsidRDefault="004E6EAF" w:rsidP="004E6EAF">
      <w:pPr>
        <w:jc w:val="both"/>
        <w:rPr>
          <w:rFonts w:ascii="Garamond" w:hAnsi="Garamond"/>
          <w:b/>
          <w:sz w:val="24"/>
          <w:szCs w:val="24"/>
        </w:rPr>
      </w:pPr>
      <w:r w:rsidRPr="001C1820">
        <w:rPr>
          <w:rFonts w:ascii="Garamond" w:hAnsi="Garamond"/>
          <w:b/>
          <w:sz w:val="24"/>
          <w:szCs w:val="24"/>
        </w:rPr>
        <w:t>114/2013. (IV. 16.) Korm. rendelet a magyar nemzeti értékek és a hungarikumok gondozásáról</w:t>
      </w:r>
    </w:p>
    <w:p w:rsidR="004E6EAF" w:rsidRPr="001C1820" w:rsidRDefault="004E6EAF" w:rsidP="004E6EAF">
      <w:pPr>
        <w:jc w:val="both"/>
        <w:rPr>
          <w:rFonts w:ascii="Garamond" w:hAnsi="Garamond"/>
          <w:sz w:val="24"/>
          <w:szCs w:val="24"/>
        </w:rPr>
      </w:pPr>
      <w:r w:rsidRPr="001C1820">
        <w:rPr>
          <w:rFonts w:ascii="Garamond" w:hAnsi="Garamond"/>
          <w:sz w:val="24"/>
          <w:szCs w:val="24"/>
        </w:rPr>
        <w:lastRenderedPageBreak/>
        <w:t xml:space="preserve">1. § </w:t>
      </w:r>
      <w:proofErr w:type="gramStart"/>
      <w:r w:rsidRPr="001C1820">
        <w:rPr>
          <w:rFonts w:ascii="Garamond" w:hAnsi="Garamond"/>
          <w:sz w:val="24"/>
          <w:szCs w:val="24"/>
        </w:rPr>
        <w:t>A nemzeti értékek adatait a települési, tájegységi és megyei értéktárakban, az ágazati értéktárban, a külhoni magyarság értéktárában, a Magyar Értéktárban, valamint a Hungarikumok Gyűjteményében a következő, szakterületenkénti kategóriák szerint kell azonosítani és rendszerezni:  a) agrár- és élelmiszergazdaság: az agrárium szellemi termékei és tárgyi javai – beleértve az erdészet, halászat, vadászat és állategészségügy területét –, különösen a mezőgazdasági termékek és az élelmiszerek, a borászat, továbbá az állat- és növényfajták;  b) egészség és életmód: a tudományos és népi megelőzés és gyógyászat,</w:t>
      </w:r>
      <w:proofErr w:type="gramEnd"/>
      <w:r w:rsidRPr="001C1820">
        <w:rPr>
          <w:rFonts w:ascii="Garamond" w:hAnsi="Garamond"/>
          <w:sz w:val="24"/>
          <w:szCs w:val="24"/>
        </w:rPr>
        <w:t xml:space="preserve"> </w:t>
      </w:r>
      <w:proofErr w:type="gramStart"/>
      <w:r w:rsidRPr="001C1820">
        <w:rPr>
          <w:rFonts w:ascii="Garamond" w:hAnsi="Garamond"/>
          <w:sz w:val="24"/>
          <w:szCs w:val="24"/>
        </w:rPr>
        <w:t>természetgyógyászat szellemi termékei és tárgyi javai, különösen a gyógyszerek, gyógynövények, gyógyhatású készítmények, gyógyvíz- és fürdőkultúra;  c) épített környezet: a környezet tudatos építési munka eredményeként létrehozott, illetve elhatárolt épített (mesterséges) része, amely elsődlegesen az egyéni és közösségi lét feltételeinek megteremtését szolgálja; valamint az embert körülvevő környezet fenntartásához kapcsolódó szellemi termékek;  d) ipari és műszaki megoldások: az ipari termelés – beleértve a kézműipart, kézművességet is – szellemi termékei és tárgyi javai, különösen az egyes technológiák</w:t>
      </w:r>
      <w:proofErr w:type="gramEnd"/>
      <w:r w:rsidRPr="001C1820">
        <w:rPr>
          <w:rFonts w:ascii="Garamond" w:hAnsi="Garamond"/>
          <w:sz w:val="24"/>
          <w:szCs w:val="24"/>
        </w:rPr>
        <w:t xml:space="preserve">, </w:t>
      </w:r>
      <w:proofErr w:type="gramStart"/>
      <w:r w:rsidRPr="001C1820">
        <w:rPr>
          <w:rFonts w:ascii="Garamond" w:hAnsi="Garamond"/>
          <w:sz w:val="24"/>
          <w:szCs w:val="24"/>
        </w:rPr>
        <w:t>technikák, berendezés-, gép- és műszergyártás, műszaki eszközökkel végzett személy- és áruszállítás;  e) kulturális örökség: a kulturális örökség szellemi és tárgyi javai, különösen az irodalom, a tudomány, a népművészet és népi kézművesség, néprajz, filmművészet, iparművészet, képzőművészet, táncművészet és zeneművészet; továbbá a védett ingatlan értékei, különösen a nemzeti vagyon körébe tartozó, kiemelkedő értékű műemlékek és régészeti lelőhelyek, nemzeti és történelmi emlékhelyek, világörökségi helyszínek;  f) sport: a fizikai erőnlét és a szellemi teljesítőképesség megtartását, fejlesztését</w:t>
      </w:r>
      <w:proofErr w:type="gramEnd"/>
      <w:r w:rsidRPr="001C1820">
        <w:rPr>
          <w:rFonts w:ascii="Garamond" w:hAnsi="Garamond"/>
          <w:sz w:val="24"/>
          <w:szCs w:val="24"/>
        </w:rPr>
        <w:t xml:space="preserve"> </w:t>
      </w:r>
      <w:proofErr w:type="gramStart"/>
      <w:r w:rsidRPr="001C1820">
        <w:rPr>
          <w:rFonts w:ascii="Garamond" w:hAnsi="Garamond"/>
          <w:sz w:val="24"/>
          <w:szCs w:val="24"/>
        </w:rPr>
        <w:t>szolgáló, a szabadidő eltöltéseként kötetlenül vagy szervezett formában, illetve versenyszerűen végzett testedzés vagy szellemi sportágban kifejtett tevékenység, különösen a sportolói életművek és csúcsteljesítmények;  g) természeti környezet: az ember természetes környezetének tárgyi javai, különösen a fizikai és biológiai képződmények vagy képződménycsoportok, geológiai és geomorfológiai képződmények, természeti tájak, természeti területek, életközösségek és ökológiai rendszerek; valamint az embert körülvevő környezet fenntartásához kapcsolódó szellemi termékek;  h) turizmus és vendéglátás:</w:t>
      </w:r>
      <w:proofErr w:type="gramEnd"/>
      <w:r w:rsidRPr="001C1820">
        <w:rPr>
          <w:rFonts w:ascii="Garamond" w:hAnsi="Garamond"/>
          <w:sz w:val="24"/>
          <w:szCs w:val="24"/>
        </w:rPr>
        <w:t xml:space="preserve"> </w:t>
      </w:r>
      <w:proofErr w:type="gramStart"/>
      <w:r w:rsidRPr="001C1820">
        <w:rPr>
          <w:rFonts w:ascii="Garamond" w:hAnsi="Garamond"/>
          <w:sz w:val="24"/>
          <w:szCs w:val="24"/>
        </w:rPr>
        <w:t>a</w:t>
      </w:r>
      <w:proofErr w:type="gramEnd"/>
      <w:r w:rsidRPr="001C1820">
        <w:rPr>
          <w:rFonts w:ascii="Garamond" w:hAnsi="Garamond"/>
          <w:sz w:val="24"/>
          <w:szCs w:val="24"/>
        </w:rPr>
        <w:t xml:space="preserve"> turizmus és a vendéglátás szellemi termékei és tárgyi javai, különösen a turisztikai attrakciók, szolgáltatások, a vendéglátó-ipari termékek, valamint a vendéglátás körébe tartozó étel- és italkészítési eljárások.</w:t>
      </w:r>
    </w:p>
    <w:p w:rsidR="004E6EAF" w:rsidRPr="001C1820" w:rsidRDefault="004E6EAF" w:rsidP="004E6EAF">
      <w:pPr>
        <w:jc w:val="both"/>
        <w:rPr>
          <w:rFonts w:ascii="Garamond" w:hAnsi="Garamond"/>
          <w:sz w:val="24"/>
          <w:szCs w:val="24"/>
        </w:rPr>
      </w:pPr>
      <w:r w:rsidRPr="001C1820">
        <w:rPr>
          <w:rFonts w:ascii="Garamond" w:hAnsi="Garamond"/>
          <w:sz w:val="24"/>
          <w:szCs w:val="24"/>
        </w:rPr>
        <w:t>2. A települési, tájegységi és megyei értéktárak létrehozása és gondozása</w:t>
      </w:r>
    </w:p>
    <w:p w:rsidR="004E6EAF" w:rsidRPr="001C1820" w:rsidRDefault="004E6EAF" w:rsidP="004E6EAF">
      <w:pPr>
        <w:jc w:val="both"/>
        <w:rPr>
          <w:rFonts w:ascii="Garamond" w:hAnsi="Garamond"/>
          <w:sz w:val="24"/>
          <w:szCs w:val="24"/>
        </w:rPr>
      </w:pPr>
      <w:r w:rsidRPr="001C1820">
        <w:rPr>
          <w:rFonts w:ascii="Garamond" w:hAnsi="Garamond"/>
          <w:sz w:val="24"/>
          <w:szCs w:val="24"/>
        </w:rPr>
        <w:t xml:space="preserve">2. § (1) A települési és megyei önkormányzat (a továbbiakban együtt: helyi önkormányzat) e rendelet hatálybalépésétől számított 60 napon belül döntést hoz arról, hogy kíván-e élni a települési, tájegységi, megyei értéktár létrehozásának lehetőségével.  (2) A települési, tájegységi, megyei értéktár létrehozására, valamint a Települési Értéktár Bizottság, illetve a Megyei Értéktár Bizottság (a továbbiakban együtt: értéktár bizottság) alakítására vagy a magyar nemzeti értékekről és a </w:t>
      </w:r>
      <w:proofErr w:type="spellStart"/>
      <w:r w:rsidRPr="001C1820">
        <w:rPr>
          <w:rFonts w:ascii="Garamond" w:hAnsi="Garamond"/>
          <w:sz w:val="24"/>
          <w:szCs w:val="24"/>
        </w:rPr>
        <w:t>hungarikumokról</w:t>
      </w:r>
      <w:proofErr w:type="spellEnd"/>
      <w:r w:rsidRPr="001C1820">
        <w:rPr>
          <w:rFonts w:ascii="Garamond" w:hAnsi="Garamond"/>
          <w:sz w:val="24"/>
          <w:szCs w:val="24"/>
        </w:rPr>
        <w:t xml:space="preserve"> szóló 2012. évi XXX. törvény (a továbbiakban: </w:t>
      </w:r>
      <w:proofErr w:type="spellStart"/>
      <w:r w:rsidRPr="001C1820">
        <w:rPr>
          <w:rFonts w:ascii="Garamond" w:hAnsi="Garamond"/>
          <w:sz w:val="24"/>
          <w:szCs w:val="24"/>
        </w:rPr>
        <w:t>Htv</w:t>
      </w:r>
      <w:proofErr w:type="spellEnd"/>
      <w:r w:rsidRPr="001C1820">
        <w:rPr>
          <w:rFonts w:ascii="Garamond" w:hAnsi="Garamond"/>
          <w:sz w:val="24"/>
          <w:szCs w:val="24"/>
        </w:rPr>
        <w:t xml:space="preserve">.) 3. § (3) bekezdése szerinti, illetve a </w:t>
      </w:r>
      <w:proofErr w:type="spellStart"/>
      <w:r w:rsidRPr="001C1820">
        <w:rPr>
          <w:rFonts w:ascii="Garamond" w:hAnsi="Garamond"/>
          <w:sz w:val="24"/>
          <w:szCs w:val="24"/>
        </w:rPr>
        <w:t>Htv</w:t>
      </w:r>
      <w:proofErr w:type="spellEnd"/>
      <w:r w:rsidRPr="001C1820">
        <w:rPr>
          <w:rFonts w:ascii="Garamond" w:hAnsi="Garamond"/>
          <w:sz w:val="24"/>
          <w:szCs w:val="24"/>
        </w:rPr>
        <w:t xml:space="preserve">. 4. § (3) bekezdése szerinti szervezetre vonatkozó döntésről a meghozatalát követő 30 napon belül a települési önkormányzatnak a megyei közgyűlés elnökét, a fővárosi, a fővárosi kerületi és a megyei önkormányzatnak pedig a Hungarikum Bizottság (a továbbiakban: HB) elnökét tájékoztatnia kell.  (3) A helyi önkormányzat a települési, tájegységi, illetve megyei értéktár, illetve az értéktár bizottság létrehozására vonatkozó nemleges döntését bármikor megváltoztathatja, amelyről a döntést követő 30 napon belül tájékoztatnia kell a megyei közgyűlés elnökét, illetve a HB elnökét. </w:t>
      </w:r>
    </w:p>
    <w:p w:rsidR="004E6EAF" w:rsidRPr="001C1820" w:rsidRDefault="004E6EAF" w:rsidP="004E6EAF">
      <w:pPr>
        <w:jc w:val="both"/>
        <w:rPr>
          <w:rFonts w:ascii="Garamond" w:hAnsi="Garamond"/>
          <w:sz w:val="24"/>
          <w:szCs w:val="24"/>
        </w:rPr>
      </w:pPr>
      <w:r w:rsidRPr="001C1820">
        <w:rPr>
          <w:rFonts w:ascii="Garamond" w:hAnsi="Garamond"/>
          <w:sz w:val="24"/>
          <w:szCs w:val="24"/>
        </w:rPr>
        <w:t xml:space="preserve">6. A nemzeti értékek települési, tájegységi, megyei értéktárba és a külhoni magyarság értéktárába történő felvétele </w:t>
      </w:r>
    </w:p>
    <w:p w:rsidR="00717804" w:rsidRPr="001C1820" w:rsidRDefault="004E6EAF" w:rsidP="004E6EAF">
      <w:pPr>
        <w:jc w:val="both"/>
        <w:rPr>
          <w:rFonts w:ascii="Garamond" w:hAnsi="Garamond"/>
          <w:sz w:val="24"/>
          <w:szCs w:val="24"/>
        </w:rPr>
      </w:pPr>
      <w:r w:rsidRPr="001C1820">
        <w:rPr>
          <w:rFonts w:ascii="Garamond" w:hAnsi="Garamond"/>
          <w:sz w:val="24"/>
          <w:szCs w:val="24"/>
        </w:rPr>
        <w:lastRenderedPageBreak/>
        <w:t>6. § (1) A helyi önkormányzat közigazgatási területén fellelhető, illetve az ott létrehozott nemzeti érték felvételét a települési, tájegységi vagy megyei értéktárba bárki írásban kezdeményezheti az adott érték fellelhetőségének helye szerint illetékes önkormányzat polgármesteréhez, illetve a megyei közgyűlés elnökéhez címzett javaslatában.  (2) A Magyarország határain túl fellelhető nemzeti értékek felvételét a külhoni magyarság értéktárába bárki írásban kezdeményezheti a MÁÉRT szakbizottság ügyrendjében foglaltak szerint.  (3) A javaslatot az 1. melléklet szerint kell elkészíteni és elektronikus úton vagy postai út esetén elektronikus adathordozón mellékelve kell benyújtani. Valamely nemzeti értéknek a települési, tájegységi vagy megyei értéktárba, illetve a külhoni magyarság értéktárába történő felvételére irányuló javaslattétel ingyenes.  (4) A javaslatnak tartalmaznia kell</w:t>
      </w:r>
      <w:proofErr w:type="gramStart"/>
      <w:r w:rsidRPr="001C1820">
        <w:rPr>
          <w:rFonts w:ascii="Garamond" w:hAnsi="Garamond"/>
          <w:sz w:val="24"/>
          <w:szCs w:val="24"/>
        </w:rPr>
        <w:t>:  a</w:t>
      </w:r>
      <w:proofErr w:type="gramEnd"/>
      <w:r w:rsidRPr="001C1820">
        <w:rPr>
          <w:rFonts w:ascii="Garamond" w:hAnsi="Garamond"/>
          <w:sz w:val="24"/>
          <w:szCs w:val="24"/>
        </w:rPr>
        <w:t xml:space="preserve">) a javaslattevő adatait,  b) az értéktárba felvételre javasolt nemzeti érték adatait,  c) az értéktárba felvételre javasolt nemzeti érték fényképét vagy </w:t>
      </w:r>
      <w:proofErr w:type="spellStart"/>
      <w:r w:rsidRPr="001C1820">
        <w:rPr>
          <w:rFonts w:ascii="Garamond" w:hAnsi="Garamond"/>
          <w:sz w:val="24"/>
          <w:szCs w:val="24"/>
        </w:rPr>
        <w:t>audiovizuálisdokumentációját</w:t>
      </w:r>
      <w:proofErr w:type="spellEnd"/>
      <w:r w:rsidRPr="001C1820">
        <w:rPr>
          <w:rFonts w:ascii="Garamond" w:hAnsi="Garamond"/>
          <w:sz w:val="24"/>
          <w:szCs w:val="24"/>
        </w:rPr>
        <w:t xml:space="preserve">,  d) a </w:t>
      </w:r>
      <w:proofErr w:type="spellStart"/>
      <w:r w:rsidRPr="001C1820">
        <w:rPr>
          <w:rFonts w:ascii="Garamond" w:hAnsi="Garamond"/>
          <w:sz w:val="24"/>
          <w:szCs w:val="24"/>
        </w:rPr>
        <w:t>Htv</w:t>
      </w:r>
      <w:proofErr w:type="spellEnd"/>
      <w:r w:rsidRPr="001C1820">
        <w:rPr>
          <w:rFonts w:ascii="Garamond" w:hAnsi="Garamond"/>
          <w:sz w:val="24"/>
          <w:szCs w:val="24"/>
        </w:rPr>
        <w:t xml:space="preserve">. 1. § (1) bekezdés j) pontjának való megfelelést valószínűsítő dokumentumokat, </w:t>
      </w:r>
      <w:proofErr w:type="gramStart"/>
      <w:r w:rsidRPr="001C1820">
        <w:rPr>
          <w:rFonts w:ascii="Garamond" w:hAnsi="Garamond"/>
          <w:sz w:val="24"/>
          <w:szCs w:val="24"/>
        </w:rPr>
        <w:t>valamint  e</w:t>
      </w:r>
      <w:proofErr w:type="gramEnd"/>
      <w:r w:rsidRPr="001C1820">
        <w:rPr>
          <w:rFonts w:ascii="Garamond" w:hAnsi="Garamond"/>
          <w:sz w:val="24"/>
          <w:szCs w:val="24"/>
        </w:rPr>
        <w:t xml:space="preserve">) szakértő, illetve szakmai vagy civil szervezet támogató vagy ajánló levelét.  </w:t>
      </w:r>
    </w:p>
    <w:p w:rsidR="004E6EAF" w:rsidRPr="001C1820" w:rsidRDefault="004E6EAF" w:rsidP="004E6EAF">
      <w:pPr>
        <w:jc w:val="both"/>
        <w:rPr>
          <w:rFonts w:ascii="Garamond" w:hAnsi="Garamond"/>
          <w:sz w:val="24"/>
          <w:szCs w:val="24"/>
        </w:rPr>
      </w:pPr>
      <w:r w:rsidRPr="001C1820">
        <w:rPr>
          <w:rFonts w:ascii="Garamond" w:hAnsi="Garamond"/>
          <w:sz w:val="24"/>
          <w:szCs w:val="24"/>
        </w:rPr>
        <w:t xml:space="preserve">7. § (6) A települési és tájegységi értéktáraknak a megyei értéktárba való, a </w:t>
      </w:r>
      <w:proofErr w:type="spellStart"/>
      <w:r w:rsidRPr="001C1820">
        <w:rPr>
          <w:rFonts w:ascii="Garamond" w:hAnsi="Garamond"/>
          <w:sz w:val="24"/>
          <w:szCs w:val="24"/>
        </w:rPr>
        <w:t>Htv</w:t>
      </w:r>
      <w:proofErr w:type="spellEnd"/>
      <w:r w:rsidRPr="001C1820">
        <w:rPr>
          <w:rFonts w:ascii="Garamond" w:hAnsi="Garamond"/>
          <w:sz w:val="24"/>
          <w:szCs w:val="24"/>
        </w:rPr>
        <w:t>. 3. §</w:t>
      </w:r>
      <w:proofErr w:type="spellStart"/>
      <w:r w:rsidRPr="001C1820">
        <w:rPr>
          <w:rFonts w:ascii="Garamond" w:hAnsi="Garamond"/>
          <w:sz w:val="24"/>
          <w:szCs w:val="24"/>
        </w:rPr>
        <w:t>-a</w:t>
      </w:r>
      <w:proofErr w:type="spellEnd"/>
      <w:r w:rsidRPr="001C1820">
        <w:rPr>
          <w:rFonts w:ascii="Garamond" w:hAnsi="Garamond"/>
          <w:sz w:val="24"/>
          <w:szCs w:val="24"/>
        </w:rPr>
        <w:t xml:space="preserve"> szerinti megküldésekor az értéktár létrehozója javaslatot tesz arra, hogy mely nemzeti értékek felvételét javasolja a megyei értéktárba.</w:t>
      </w:r>
    </w:p>
    <w:p w:rsidR="004E6EAF" w:rsidRPr="001C1820" w:rsidRDefault="004E6EAF" w:rsidP="004E6EAF">
      <w:pPr>
        <w:jc w:val="both"/>
        <w:rPr>
          <w:rFonts w:ascii="Garamond" w:hAnsi="Garamond"/>
          <w:sz w:val="24"/>
          <w:szCs w:val="24"/>
        </w:rPr>
      </w:pPr>
    </w:p>
    <w:p w:rsidR="004E6EAF" w:rsidRPr="001C1820" w:rsidRDefault="004E6EAF" w:rsidP="004E6EAF">
      <w:pPr>
        <w:jc w:val="both"/>
        <w:rPr>
          <w:rFonts w:ascii="Garamond" w:hAnsi="Garamond"/>
          <w:sz w:val="24"/>
          <w:szCs w:val="24"/>
        </w:rPr>
      </w:pPr>
      <w:r w:rsidRPr="001C1820">
        <w:rPr>
          <w:rFonts w:ascii="Garamond" w:hAnsi="Garamond"/>
          <w:sz w:val="24"/>
          <w:szCs w:val="24"/>
        </w:rPr>
        <w:t xml:space="preserve">9. A nyilvántartás és a közzététel szabályai </w:t>
      </w:r>
    </w:p>
    <w:p w:rsidR="004E6EAF" w:rsidRPr="001C1820" w:rsidRDefault="004E6EAF" w:rsidP="004E6EAF">
      <w:pPr>
        <w:jc w:val="both"/>
        <w:rPr>
          <w:rFonts w:ascii="Garamond" w:hAnsi="Garamond"/>
          <w:sz w:val="24"/>
          <w:szCs w:val="24"/>
        </w:rPr>
      </w:pPr>
      <w:r w:rsidRPr="001C1820">
        <w:rPr>
          <w:rFonts w:ascii="Garamond" w:hAnsi="Garamond"/>
          <w:sz w:val="24"/>
          <w:szCs w:val="24"/>
        </w:rPr>
        <w:t xml:space="preserve">14. § (1) A települési, tájegységi, illetve megyei értéktárban a 13. § (1) bekezdése szerint nyilvántartott nemzeti érték adatait a helyi önkormányzat az önkormányzat honlapján, a 7. § (4) bekezdése szerinti döntést követően, 8 napon belül közzéteszi.  </w:t>
      </w:r>
    </w:p>
    <w:sectPr w:rsidR="004E6EAF" w:rsidRPr="001C1820" w:rsidSect="00B55626">
      <w:headerReference w:type="default" r:id="rId7"/>
      <w:footerReference w:type="default" r:id="rId8"/>
      <w:pgSz w:w="11906" w:h="16838"/>
      <w:pgMar w:top="1417" w:right="1417" w:bottom="1417" w:left="1417" w:header="426" w:footer="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268" w:rsidRDefault="005E6268" w:rsidP="00643369">
      <w:pPr>
        <w:spacing w:after="0" w:line="240" w:lineRule="auto"/>
      </w:pPr>
      <w:r>
        <w:separator/>
      </w:r>
    </w:p>
  </w:endnote>
  <w:endnote w:type="continuationSeparator" w:id="0">
    <w:p w:rsidR="005E6268" w:rsidRDefault="005E6268" w:rsidP="00643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26" w:rsidRPr="00B55626" w:rsidRDefault="00B55626" w:rsidP="00B55626">
    <w:pPr>
      <w:pStyle w:val="llb"/>
      <w:jc w:val="center"/>
      <w:rPr>
        <w:b/>
        <w:sz w:val="16"/>
        <w:szCs w:val="16"/>
      </w:rPr>
    </w:pPr>
    <w:r w:rsidRPr="00B55626">
      <w:rPr>
        <w:b/>
        <w:sz w:val="16"/>
        <w:szCs w:val="16"/>
      </w:rPr>
      <w:t>Közép-Szabolcsi LEADER Egyesület</w:t>
    </w:r>
  </w:p>
  <w:p w:rsidR="00B55626" w:rsidRPr="00B55626" w:rsidRDefault="00B55626" w:rsidP="00B55626">
    <w:pPr>
      <w:pStyle w:val="llb"/>
      <w:jc w:val="center"/>
      <w:rPr>
        <w:b/>
        <w:sz w:val="16"/>
        <w:szCs w:val="16"/>
      </w:rPr>
    </w:pPr>
    <w:r w:rsidRPr="00B55626">
      <w:rPr>
        <w:b/>
        <w:sz w:val="16"/>
        <w:szCs w:val="16"/>
      </w:rPr>
      <w:t>4484 Ibrány, Hősök tere 2-4.</w:t>
    </w:r>
  </w:p>
  <w:p w:rsidR="00B55626" w:rsidRPr="00B55626" w:rsidRDefault="00B55626" w:rsidP="00B55626">
    <w:pPr>
      <w:pStyle w:val="llb"/>
      <w:jc w:val="center"/>
      <w:rPr>
        <w:b/>
        <w:sz w:val="16"/>
        <w:szCs w:val="16"/>
      </w:rPr>
    </w:pPr>
    <w:r w:rsidRPr="00B55626">
      <w:rPr>
        <w:b/>
        <w:sz w:val="16"/>
        <w:szCs w:val="16"/>
      </w:rPr>
      <w:t>Telefon: 06 70 6789</w:t>
    </w:r>
    <w:r>
      <w:rPr>
        <w:b/>
        <w:sz w:val="16"/>
        <w:szCs w:val="16"/>
      </w:rPr>
      <w:t xml:space="preserve"> </w:t>
    </w:r>
    <w:r w:rsidRPr="00B55626">
      <w:rPr>
        <w:b/>
        <w:sz w:val="16"/>
        <w:szCs w:val="16"/>
      </w:rPr>
      <w:t>600</w:t>
    </w:r>
  </w:p>
  <w:p w:rsidR="00B55626" w:rsidRPr="00B55626" w:rsidRDefault="00B55626" w:rsidP="00B55626">
    <w:pPr>
      <w:pStyle w:val="llb"/>
      <w:jc w:val="center"/>
      <w:rPr>
        <w:b/>
        <w:sz w:val="16"/>
        <w:szCs w:val="16"/>
      </w:rPr>
    </w:pPr>
    <w:r w:rsidRPr="00B55626">
      <w:rPr>
        <w:b/>
        <w:sz w:val="16"/>
        <w:szCs w:val="16"/>
      </w:rPr>
      <w:t>E-mail: kozepszabolcsileader@gmail.com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268" w:rsidRDefault="005E6268" w:rsidP="00643369">
      <w:pPr>
        <w:spacing w:after="0" w:line="240" w:lineRule="auto"/>
      </w:pPr>
      <w:r>
        <w:separator/>
      </w:r>
    </w:p>
  </w:footnote>
  <w:footnote w:type="continuationSeparator" w:id="0">
    <w:p w:rsidR="005E6268" w:rsidRDefault="005E6268" w:rsidP="00643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369" w:rsidRDefault="00C77A75">
    <w:pPr>
      <w:pStyle w:val="lfej"/>
    </w:pPr>
    <w:r>
      <w:rPr>
        <w:noProof/>
        <w:lang w:eastAsia="hu-HU"/>
      </w:rPr>
      <w:t xml:space="preserve"> </w:t>
    </w:r>
    <w:r w:rsidR="00B55626">
      <w:rPr>
        <w:noProof/>
        <w:lang w:eastAsia="hu-HU"/>
      </w:rPr>
      <w:drawing>
        <wp:inline distT="0" distB="0" distL="0" distR="0" wp14:anchorId="6E4320E6">
          <wp:extent cx="664210" cy="859790"/>
          <wp:effectExtent l="0" t="0" r="2540" b="0"/>
          <wp:docPr id="49" name="Kép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859790"/>
                  </a:xfrm>
                  <a:prstGeom prst="rect">
                    <a:avLst/>
                  </a:prstGeom>
                  <a:noFill/>
                </pic:spPr>
              </pic:pic>
            </a:graphicData>
          </a:graphic>
        </wp:inline>
      </w:drawing>
    </w:r>
    <w:r>
      <w:rPr>
        <w:noProof/>
        <w:lang w:eastAsia="hu-HU"/>
      </w:rPr>
      <w:t xml:space="preserve"> </w:t>
    </w:r>
    <w:r w:rsidR="00B55626">
      <w:rPr>
        <w:noProof/>
        <w:lang w:eastAsia="hu-HU"/>
      </w:rPr>
      <w:drawing>
        <wp:inline distT="0" distB="0" distL="0" distR="0" wp14:anchorId="11AABD42">
          <wp:extent cx="1962785" cy="829310"/>
          <wp:effectExtent l="0" t="0" r="0" b="8890"/>
          <wp:docPr id="50" name="Kép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785" cy="829310"/>
                  </a:xfrm>
                  <a:prstGeom prst="rect">
                    <a:avLst/>
                  </a:prstGeom>
                  <a:noFill/>
                </pic:spPr>
              </pic:pic>
            </a:graphicData>
          </a:graphic>
        </wp:inline>
      </w:drawing>
    </w:r>
    <w:r>
      <w:rPr>
        <w:noProof/>
        <w:lang w:eastAsia="hu-HU"/>
      </w:rPr>
      <w:t xml:space="preserve">  </w:t>
    </w:r>
    <w:r w:rsidR="00643369">
      <w:rPr>
        <w:noProof/>
        <w:lang w:eastAsia="hu-HU"/>
      </w:rPr>
      <w:drawing>
        <wp:inline distT="0" distB="0" distL="0" distR="0" wp14:anchorId="271C2B1F">
          <wp:extent cx="2133600" cy="774065"/>
          <wp:effectExtent l="0" t="0" r="0" b="6985"/>
          <wp:docPr id="51" name="Kép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3600" cy="774065"/>
                  </a:xfrm>
                  <a:prstGeom prst="rect">
                    <a:avLst/>
                  </a:prstGeom>
                  <a:noFill/>
                </pic:spPr>
              </pic:pic>
            </a:graphicData>
          </a:graphic>
        </wp:inline>
      </w:drawing>
    </w:r>
    <w:r>
      <w:rPr>
        <w:noProof/>
        <w:lang w:eastAsia="hu-HU"/>
      </w:rPr>
      <w:t xml:space="preserve">  </w:t>
    </w:r>
    <w:r w:rsidR="00B55626">
      <w:rPr>
        <w:noProof/>
        <w:lang w:eastAsia="hu-HU"/>
      </w:rPr>
      <w:drawing>
        <wp:inline distT="0" distB="0" distL="0" distR="0" wp14:anchorId="060486E9">
          <wp:extent cx="762000" cy="762000"/>
          <wp:effectExtent l="0" t="0" r="0" b="0"/>
          <wp:docPr id="52" name="Kép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8459D"/>
    <w:multiLevelType w:val="hybridMultilevel"/>
    <w:tmpl w:val="B95ED2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1D"/>
    <w:rsid w:val="000176AC"/>
    <w:rsid w:val="00074474"/>
    <w:rsid w:val="00082FCB"/>
    <w:rsid w:val="001C1820"/>
    <w:rsid w:val="002401CA"/>
    <w:rsid w:val="002A7A09"/>
    <w:rsid w:val="002D4C43"/>
    <w:rsid w:val="00354884"/>
    <w:rsid w:val="00360873"/>
    <w:rsid w:val="003758B6"/>
    <w:rsid w:val="003F10C0"/>
    <w:rsid w:val="0040647E"/>
    <w:rsid w:val="00483CB7"/>
    <w:rsid w:val="004B7473"/>
    <w:rsid w:val="004E6EAF"/>
    <w:rsid w:val="005E1E14"/>
    <w:rsid w:val="005E6268"/>
    <w:rsid w:val="00643369"/>
    <w:rsid w:val="0071353B"/>
    <w:rsid w:val="00717804"/>
    <w:rsid w:val="00742B56"/>
    <w:rsid w:val="008159CC"/>
    <w:rsid w:val="009373ED"/>
    <w:rsid w:val="00982B01"/>
    <w:rsid w:val="00AB7E3D"/>
    <w:rsid w:val="00AE1713"/>
    <w:rsid w:val="00AE2393"/>
    <w:rsid w:val="00B15706"/>
    <w:rsid w:val="00B55626"/>
    <w:rsid w:val="00B55A52"/>
    <w:rsid w:val="00BC12E5"/>
    <w:rsid w:val="00BC6FD9"/>
    <w:rsid w:val="00BE5456"/>
    <w:rsid w:val="00C02014"/>
    <w:rsid w:val="00C43328"/>
    <w:rsid w:val="00C77A75"/>
    <w:rsid w:val="00D44A83"/>
    <w:rsid w:val="00D470CB"/>
    <w:rsid w:val="00DA1DA3"/>
    <w:rsid w:val="00E2201D"/>
    <w:rsid w:val="00E34E50"/>
    <w:rsid w:val="00F05C03"/>
    <w:rsid w:val="00F40608"/>
    <w:rsid w:val="00F5015C"/>
    <w:rsid w:val="00FE58C8"/>
    <w:rsid w:val="00FF26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100465-C53E-49BC-8EB9-40889764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4060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43328"/>
    <w:pPr>
      <w:ind w:left="720"/>
      <w:contextualSpacing/>
    </w:pPr>
  </w:style>
  <w:style w:type="paragraph" w:styleId="NormlWeb">
    <w:name w:val="Normal (Web)"/>
    <w:basedOn w:val="Norml"/>
    <w:uiPriority w:val="99"/>
    <w:semiHidden/>
    <w:unhideWhenUsed/>
    <w:rsid w:val="001C182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j">
    <w:name w:val="uj"/>
    <w:basedOn w:val="Norml"/>
    <w:rsid w:val="001C182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1C1820"/>
  </w:style>
  <w:style w:type="character" w:styleId="Hiperhivatkozs">
    <w:name w:val="Hyperlink"/>
    <w:basedOn w:val="Bekezdsalapbettpusa"/>
    <w:uiPriority w:val="99"/>
    <w:semiHidden/>
    <w:unhideWhenUsed/>
    <w:rsid w:val="001C1820"/>
    <w:rPr>
      <w:color w:val="0000FF"/>
      <w:u w:val="single"/>
    </w:rPr>
  </w:style>
  <w:style w:type="table" w:styleId="Rcsostblzat">
    <w:name w:val="Table Grid"/>
    <w:basedOn w:val="Normltblzat"/>
    <w:uiPriority w:val="39"/>
    <w:rsid w:val="00375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BE545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E5456"/>
    <w:rPr>
      <w:rFonts w:ascii="Tahoma" w:hAnsi="Tahoma" w:cs="Tahoma"/>
      <w:sz w:val="16"/>
      <w:szCs w:val="16"/>
    </w:rPr>
  </w:style>
  <w:style w:type="paragraph" w:styleId="Vltozat">
    <w:name w:val="Revision"/>
    <w:hidden/>
    <w:uiPriority w:val="99"/>
    <w:semiHidden/>
    <w:rsid w:val="00082FCB"/>
    <w:pPr>
      <w:spacing w:after="0" w:line="240" w:lineRule="auto"/>
    </w:pPr>
  </w:style>
  <w:style w:type="paragraph" w:styleId="lfej">
    <w:name w:val="header"/>
    <w:basedOn w:val="Norml"/>
    <w:link w:val="lfejChar"/>
    <w:uiPriority w:val="99"/>
    <w:unhideWhenUsed/>
    <w:rsid w:val="00643369"/>
    <w:pPr>
      <w:tabs>
        <w:tab w:val="center" w:pos="4536"/>
        <w:tab w:val="right" w:pos="9072"/>
      </w:tabs>
      <w:spacing w:after="0" w:line="240" w:lineRule="auto"/>
    </w:pPr>
  </w:style>
  <w:style w:type="character" w:customStyle="1" w:styleId="lfejChar">
    <w:name w:val="Élőfej Char"/>
    <w:basedOn w:val="Bekezdsalapbettpusa"/>
    <w:link w:val="lfej"/>
    <w:uiPriority w:val="99"/>
    <w:rsid w:val="00643369"/>
  </w:style>
  <w:style w:type="paragraph" w:styleId="llb">
    <w:name w:val="footer"/>
    <w:basedOn w:val="Norml"/>
    <w:link w:val="llbChar"/>
    <w:uiPriority w:val="99"/>
    <w:unhideWhenUsed/>
    <w:rsid w:val="00643369"/>
    <w:pPr>
      <w:tabs>
        <w:tab w:val="center" w:pos="4536"/>
        <w:tab w:val="right" w:pos="9072"/>
      </w:tabs>
      <w:spacing w:after="0" w:line="240" w:lineRule="auto"/>
    </w:pPr>
  </w:style>
  <w:style w:type="character" w:customStyle="1" w:styleId="llbChar">
    <w:name w:val="Élőláb Char"/>
    <w:basedOn w:val="Bekezdsalapbettpusa"/>
    <w:link w:val="llb"/>
    <w:uiPriority w:val="99"/>
    <w:rsid w:val="00643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2524">
      <w:bodyDiv w:val="1"/>
      <w:marLeft w:val="0"/>
      <w:marRight w:val="0"/>
      <w:marTop w:val="0"/>
      <w:marBottom w:val="0"/>
      <w:divBdr>
        <w:top w:val="none" w:sz="0" w:space="0" w:color="auto"/>
        <w:left w:val="none" w:sz="0" w:space="0" w:color="auto"/>
        <w:bottom w:val="none" w:sz="0" w:space="0" w:color="auto"/>
        <w:right w:val="none" w:sz="0" w:space="0" w:color="auto"/>
      </w:divBdr>
    </w:div>
    <w:div w:id="1125974692">
      <w:bodyDiv w:val="1"/>
      <w:marLeft w:val="0"/>
      <w:marRight w:val="0"/>
      <w:marTop w:val="0"/>
      <w:marBottom w:val="0"/>
      <w:divBdr>
        <w:top w:val="none" w:sz="0" w:space="0" w:color="auto"/>
        <w:left w:val="none" w:sz="0" w:space="0" w:color="auto"/>
        <w:bottom w:val="none" w:sz="0" w:space="0" w:color="auto"/>
        <w:right w:val="none" w:sz="0" w:space="0" w:color="auto"/>
      </w:divBdr>
    </w:div>
    <w:div w:id="1564214984">
      <w:bodyDiv w:val="1"/>
      <w:marLeft w:val="0"/>
      <w:marRight w:val="0"/>
      <w:marTop w:val="0"/>
      <w:marBottom w:val="0"/>
      <w:divBdr>
        <w:top w:val="none" w:sz="0" w:space="0" w:color="auto"/>
        <w:left w:val="none" w:sz="0" w:space="0" w:color="auto"/>
        <w:bottom w:val="none" w:sz="0" w:space="0" w:color="auto"/>
        <w:right w:val="none" w:sz="0" w:space="0" w:color="auto"/>
      </w:divBdr>
    </w:div>
    <w:div w:id="16245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1918</Words>
  <Characters>13241</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NAKVI</Company>
  <LinksUpToDate>false</LinksUpToDate>
  <CharactersWithSpaces>15129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Vágány Zoltán</dc:creator>
  <cp:lastModifiedBy>Bíróné Nagy Csilla</cp:lastModifiedBy>
  <cp:revision>2</cp:revision>
  <dcterms:created xsi:type="dcterms:W3CDTF">2017-02-22T12:48:00Z</dcterms:created>
  <dcterms:modified xsi:type="dcterms:W3CDTF">2017-02-22T12:48:00Z</dcterms:modified>
</cp:coreProperties>
</file>